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96330" w14:textId="46A84B6E" w:rsidR="00283064" w:rsidRPr="004323A2" w:rsidRDefault="00283064" w:rsidP="00283064">
      <w:pPr>
        <w:pStyle w:val="a5"/>
        <w:keepLines/>
        <w:tabs>
          <w:tab w:val="right" w:pos="10440"/>
          <w:tab w:val="right" w:pos="13323"/>
        </w:tabs>
        <w:spacing w:before="60" w:after="60"/>
        <w:rPr>
          <w:rFonts w:eastAsia="宋体" w:cs="Arial"/>
          <w:b w:val="0"/>
          <w:color w:val="FF0000"/>
          <w:sz w:val="24"/>
          <w:szCs w:val="24"/>
        </w:rPr>
      </w:pPr>
      <w:r>
        <w:rPr>
          <w:rFonts w:cs="Arial"/>
          <w:sz w:val="24"/>
          <w:szCs w:val="24"/>
        </w:rPr>
        <w:t xml:space="preserve">3GPP TSG-RAN WG4 Meeting # 110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F76637" w:rsidRPr="00F76637">
        <w:rPr>
          <w:rFonts w:eastAsiaTheme="minorEastAsia" w:cs="Arial"/>
          <w:sz w:val="24"/>
          <w:szCs w:val="24"/>
        </w:rPr>
        <w:t>R4-2401237</w:t>
      </w:r>
      <w:bookmarkStart w:id="0" w:name="_GoBack"/>
      <w:bookmarkEnd w:id="0"/>
    </w:p>
    <w:p w14:paraId="09AEFC96" w14:textId="77777777" w:rsidR="00283064" w:rsidRPr="00457A10" w:rsidRDefault="00283064" w:rsidP="00283064">
      <w:pPr>
        <w:pStyle w:val="a5"/>
        <w:tabs>
          <w:tab w:val="right" w:pos="9781"/>
          <w:tab w:val="right" w:pos="13323"/>
        </w:tabs>
        <w:spacing w:before="60" w:after="60"/>
        <w:outlineLvl w:val="0"/>
        <w:rPr>
          <w:rFonts w:eastAsia="宋体" w:cs="Arial"/>
          <w:b w:val="0"/>
          <w:sz w:val="24"/>
          <w:szCs w:val="24"/>
        </w:rPr>
      </w:pPr>
      <w:r w:rsidRPr="009E053C">
        <w:rPr>
          <w:rFonts w:eastAsia="宋体" w:cs="Arial"/>
          <w:sz w:val="24"/>
          <w:szCs w:val="24"/>
        </w:rPr>
        <w:t xml:space="preserve">Athens, Greece, February 26 – March 01, </w:t>
      </w:r>
      <w:r>
        <w:rPr>
          <w:rFonts w:eastAsia="宋体" w:cs="Arial"/>
          <w:sz w:val="24"/>
          <w:szCs w:val="24"/>
        </w:rPr>
        <w:t>2024</w:t>
      </w:r>
    </w:p>
    <w:p w14:paraId="191CB94C" w14:textId="77777777" w:rsidR="00283064" w:rsidRPr="00457A10" w:rsidRDefault="00283064" w:rsidP="00283064">
      <w:pPr>
        <w:tabs>
          <w:tab w:val="left" w:pos="1985"/>
        </w:tabs>
        <w:jc w:val="both"/>
        <w:rPr>
          <w:rFonts w:ascii="Arial" w:hAnsi="Arial" w:cs="Arial"/>
          <w:b/>
          <w:sz w:val="22"/>
          <w:szCs w:val="22"/>
        </w:rPr>
      </w:pPr>
    </w:p>
    <w:p w14:paraId="7DFD51ED" w14:textId="32288474" w:rsidR="00283064" w:rsidRPr="004C3321" w:rsidRDefault="00283064" w:rsidP="00283064">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E03BAA" w:rsidRPr="009D2EB8">
        <w:rPr>
          <w:rFonts w:ascii="Arial" w:hAnsi="Arial" w:cs="Arial"/>
          <w:b/>
          <w:sz w:val="22"/>
          <w:szCs w:val="22"/>
        </w:rPr>
        <w:t>8.5.1.1</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6D475828"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02291" w:rsidRPr="00002291">
        <w:rPr>
          <w:rFonts w:ascii="Arial" w:hAnsi="Arial" w:cs="Arial"/>
          <w:b/>
          <w:sz w:val="22"/>
          <w:szCs w:val="22"/>
        </w:rPr>
        <w:t>Discussion on UE capabilities for Case 1 Pre-MG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05F0E940" w:rsidR="006435DB" w:rsidRPr="004604A6" w:rsidRDefault="006315A2" w:rsidP="006435DB">
      <w:pPr>
        <w:rPr>
          <w:rFonts w:eastAsiaTheme="minorEastAsia"/>
          <w:sz w:val="22"/>
          <w:szCs w:val="22"/>
          <w:lang w:val="x-none"/>
        </w:rPr>
      </w:pPr>
      <w:r w:rsidRPr="004604A6">
        <w:rPr>
          <w:rFonts w:eastAsiaTheme="minorEastAsia"/>
          <w:sz w:val="22"/>
          <w:szCs w:val="22"/>
        </w:rPr>
        <w:t>In RAN4 #10</w:t>
      </w:r>
      <w:r w:rsidR="00FF247A">
        <w:rPr>
          <w:rFonts w:eastAsiaTheme="minorEastAsia"/>
          <w:sz w:val="22"/>
          <w:szCs w:val="22"/>
        </w:rPr>
        <w:t>9</w:t>
      </w:r>
      <w:r w:rsidRPr="004604A6">
        <w:rPr>
          <w:rFonts w:eastAsiaTheme="minorEastAsia"/>
          <w:sz w:val="22"/>
          <w:szCs w:val="22"/>
        </w:rPr>
        <w:t xml:space="preserve"> meeting,</w:t>
      </w:r>
      <w:r w:rsidR="006435DB" w:rsidRPr="004604A6">
        <w:rPr>
          <w:rFonts w:eastAsiaTheme="minorEastAsia"/>
          <w:sz w:val="22"/>
          <w:szCs w:val="22"/>
          <w:lang w:val="x-none"/>
        </w:rPr>
        <w:t xml:space="preserve"> </w:t>
      </w:r>
      <w:r w:rsidR="008C7C6E" w:rsidRPr="008C7C6E">
        <w:rPr>
          <w:rFonts w:eastAsiaTheme="minorEastAsia"/>
          <w:sz w:val="22"/>
          <w:szCs w:val="22"/>
          <w:lang w:val="x-none"/>
        </w:rPr>
        <w:t>UE capabilities</w:t>
      </w:r>
      <w:r w:rsidR="006435DB" w:rsidRPr="004604A6">
        <w:rPr>
          <w:rFonts w:eastAsiaTheme="minorEastAsia"/>
          <w:sz w:val="22"/>
          <w:szCs w:val="22"/>
          <w:lang w:val="x-none"/>
        </w:rPr>
        <w:t xml:space="preserve"> for pre-configured MGs, multiple concurrent MGs and NCSG were discussed and the WF [1] was approved. </w:t>
      </w:r>
    </w:p>
    <w:p w14:paraId="2336E614" w14:textId="0242CF63" w:rsidR="00C1468E" w:rsidRPr="004E0E0B"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207885" w:rsidRPr="00207885">
        <w:rPr>
          <w:rFonts w:eastAsiaTheme="minorEastAsia"/>
          <w:sz w:val="22"/>
          <w:szCs w:val="22"/>
          <w:lang w:val="x-none"/>
        </w:rPr>
        <w:t>UE capabilities</w:t>
      </w:r>
      <w:r w:rsidR="00EB388A" w:rsidRPr="00EB388A">
        <w:rPr>
          <w:rFonts w:eastAsiaTheme="minorEastAsia"/>
          <w:sz w:val="22"/>
          <w:szCs w:val="22"/>
          <w:lang w:val="x-none"/>
        </w:rPr>
        <w:t xml:space="preserve"> for </w:t>
      </w:r>
      <w:r w:rsidR="00991385" w:rsidRPr="00991385">
        <w:rPr>
          <w:rFonts w:eastAsiaTheme="minorEastAsia"/>
          <w:sz w:val="22"/>
          <w:szCs w:val="22"/>
          <w:lang w:val="x-none"/>
        </w:rPr>
        <w:t>Case 1 Pre-MG and concurrent MG</w:t>
      </w:r>
      <w:r w:rsidRPr="004604A6">
        <w:rPr>
          <w:rFonts w:eastAsiaTheme="minorEastAsia"/>
          <w:sz w:val="22"/>
          <w:szCs w:val="22"/>
          <w:lang w:val="x-none"/>
        </w:rPr>
        <w:t>.</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EAC9093" w14:textId="124574EE" w:rsidR="00EB6FC8" w:rsidRPr="00AB25C5" w:rsidRDefault="00D127B7" w:rsidP="00EB6FC8">
      <w:pPr>
        <w:rPr>
          <w:b/>
          <w:u w:val="single"/>
        </w:rPr>
      </w:pPr>
      <w:r>
        <w:rPr>
          <w:b/>
          <w:u w:val="single"/>
        </w:rPr>
        <w:t>F</w:t>
      </w:r>
      <w:r w:rsidR="002F625B" w:rsidRPr="002F625B">
        <w:rPr>
          <w:b/>
          <w:u w:val="single"/>
        </w:rPr>
        <w:t xml:space="preserve">eature list for </w:t>
      </w:r>
      <w:r w:rsidR="00C142DF" w:rsidRPr="00C142DF">
        <w:rPr>
          <w:b/>
          <w:u w:val="single"/>
        </w:rPr>
        <w:t>Case 1 Pre-MG and concurrent MG</w:t>
      </w:r>
    </w:p>
    <w:p w14:paraId="1D333404" w14:textId="77777777" w:rsidR="00EB6FC8" w:rsidRPr="00AB25C5" w:rsidRDefault="00EB6FC8" w:rsidP="00EB6FC8">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14283"/>
      </w:tblGrid>
      <w:tr w:rsidR="00EB6FC8" w:rsidRPr="00BB42CE" w14:paraId="458FB4FC" w14:textId="77777777" w:rsidTr="0098310B">
        <w:tc>
          <w:tcPr>
            <w:tcW w:w="9747" w:type="dxa"/>
          </w:tcPr>
          <w:p w14:paraId="5C12F8B2" w14:textId="77777777" w:rsidR="00BB42CE" w:rsidRPr="00BB42CE" w:rsidRDefault="00BB42CE" w:rsidP="00BB42CE">
            <w:pPr>
              <w:rPr>
                <w:sz w:val="20"/>
                <w:szCs w:val="20"/>
                <w:lang w:val="sv-SE"/>
              </w:rPr>
            </w:pPr>
            <w:r w:rsidRPr="00BB42CE">
              <w:rPr>
                <w:b/>
                <w:color w:val="0070C0"/>
                <w:sz w:val="20"/>
                <w:szCs w:val="20"/>
                <w:u w:val="single"/>
                <w:lang w:eastAsia="ko-KR"/>
              </w:rPr>
              <w:t xml:space="preserve">Issue 1-1-1: </w:t>
            </w:r>
            <w:r w:rsidRPr="00BB42CE">
              <w:rPr>
                <w:b/>
                <w:bCs/>
                <w:color w:val="0070C0"/>
                <w:sz w:val="20"/>
                <w:szCs w:val="20"/>
                <w:u w:val="single"/>
                <w:lang w:eastAsia="ko-KR"/>
              </w:rPr>
              <w:t xml:space="preserve">Rel-18 </w:t>
            </w:r>
            <w:r w:rsidRPr="00BB42CE">
              <w:rPr>
                <w:b/>
                <w:bCs/>
                <w:color w:val="C00000"/>
                <w:sz w:val="20"/>
                <w:szCs w:val="20"/>
                <w:u w:val="single"/>
                <w:lang w:eastAsia="ko-KR"/>
              </w:rPr>
              <w:t xml:space="preserve">NR UE features </w:t>
            </w:r>
            <w:r w:rsidRPr="00BB42CE">
              <w:rPr>
                <w:b/>
                <w:bCs/>
                <w:color w:val="0070C0"/>
                <w:sz w:val="20"/>
                <w:szCs w:val="20"/>
                <w:u w:val="single"/>
                <w:lang w:eastAsia="ko-KR"/>
              </w:rPr>
              <w:t>for NR_MG_enh2 WI for Objective 1:</w:t>
            </w:r>
          </w:p>
          <w:p w14:paraId="5EDBB5CE" w14:textId="77777777" w:rsidR="00BB42CE" w:rsidRPr="00BB42CE" w:rsidRDefault="00BB42CE" w:rsidP="00BB42CE">
            <w:pPr>
              <w:rPr>
                <w:color w:val="000000" w:themeColor="text1"/>
                <w:sz w:val="20"/>
                <w:szCs w:val="20"/>
              </w:rPr>
            </w:pPr>
            <w:r w:rsidRPr="00BB42CE">
              <w:rPr>
                <w:rFonts w:eastAsia="PMingLiU"/>
                <w:sz w:val="20"/>
                <w:szCs w:val="20"/>
                <w:lang w:eastAsia="zh-TW"/>
              </w:rPr>
              <w:t xml:space="preserve">&lt; </w:t>
            </w:r>
            <w:r w:rsidRPr="00BB42CE">
              <w:rPr>
                <w:rFonts w:eastAsia="PMingLiU"/>
                <w:b/>
                <w:bCs/>
                <w:sz w:val="20"/>
                <w:szCs w:val="20"/>
                <w:lang w:eastAsia="zh-TW"/>
              </w:rPr>
              <w:t>Way Forward</w:t>
            </w:r>
            <w:r w:rsidRPr="00BB42CE">
              <w:rPr>
                <w:rFonts w:eastAsia="PMingLiU"/>
                <w:sz w:val="20"/>
                <w:szCs w:val="20"/>
                <w:lang w:eastAsia="zh-TW"/>
              </w:rPr>
              <w:t xml:space="preserve"> &gt; </w:t>
            </w:r>
          </w:p>
          <w:p w14:paraId="2DDA8451" w14:textId="77777777" w:rsidR="00BB42CE" w:rsidRPr="00BB42CE" w:rsidRDefault="00BB42CE" w:rsidP="00BB42CE">
            <w:pPr>
              <w:pStyle w:val="affd"/>
              <w:widowControl/>
              <w:numPr>
                <w:ilvl w:val="0"/>
                <w:numId w:val="22"/>
              </w:numPr>
              <w:spacing w:line="240" w:lineRule="auto"/>
              <w:ind w:left="360" w:firstLineChars="0"/>
              <w:rPr>
                <w:color w:val="000000" w:themeColor="text1"/>
                <w:sz w:val="20"/>
                <w:szCs w:val="20"/>
                <w:lang w:eastAsia="zh-CN"/>
              </w:rPr>
            </w:pPr>
            <w:r w:rsidRPr="00BB42CE">
              <w:rPr>
                <w:color w:val="000000" w:themeColor="text1"/>
                <w:sz w:val="20"/>
                <w:szCs w:val="20"/>
                <w:lang w:eastAsia="zh-CN"/>
              </w:rPr>
              <w:t>The following feature list will be used as a starting for further discussion in the next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29"/>
              <w:gridCol w:w="1629"/>
              <w:gridCol w:w="1046"/>
              <w:gridCol w:w="919"/>
              <w:gridCol w:w="943"/>
              <w:gridCol w:w="1158"/>
              <w:gridCol w:w="552"/>
              <w:gridCol w:w="1174"/>
              <w:gridCol w:w="1174"/>
              <w:gridCol w:w="1142"/>
              <w:gridCol w:w="535"/>
              <w:gridCol w:w="1565"/>
            </w:tblGrid>
            <w:tr w:rsidR="00EF5BD6" w:rsidRPr="00D06868" w14:paraId="11B087EB" w14:textId="77777777" w:rsidTr="00EF5BD6">
              <w:trPr>
                <w:trHeight w:val="20"/>
              </w:trPr>
              <w:tc>
                <w:tcPr>
                  <w:tcW w:w="478" w:type="dxa"/>
                  <w:shd w:val="clear" w:color="auto" w:fill="auto"/>
                </w:tcPr>
                <w:p w14:paraId="3312E128"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Index</w:t>
                  </w:r>
                </w:p>
              </w:tc>
              <w:tc>
                <w:tcPr>
                  <w:tcW w:w="1200" w:type="dxa"/>
                  <w:shd w:val="clear" w:color="auto" w:fill="auto"/>
                </w:tcPr>
                <w:p w14:paraId="76548B2D"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Feature group</w:t>
                  </w:r>
                </w:p>
              </w:tc>
              <w:tc>
                <w:tcPr>
                  <w:tcW w:w="1200" w:type="dxa"/>
                  <w:shd w:val="clear" w:color="auto" w:fill="auto"/>
                </w:tcPr>
                <w:p w14:paraId="246C40C6"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Components</w:t>
                  </w:r>
                </w:p>
                <w:p w14:paraId="67FDB67B"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p>
              </w:tc>
              <w:tc>
                <w:tcPr>
                  <w:tcW w:w="412" w:type="dxa"/>
                  <w:shd w:val="clear" w:color="auto" w:fill="auto"/>
                </w:tcPr>
                <w:p w14:paraId="0B4E82A0"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Prerequisite feature groups</w:t>
                  </w:r>
                </w:p>
              </w:tc>
              <w:tc>
                <w:tcPr>
                  <w:tcW w:w="1088" w:type="dxa"/>
                  <w:shd w:val="clear" w:color="auto" w:fill="auto"/>
                </w:tcPr>
                <w:p w14:paraId="5DF5E3DA"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for the gNB to know if the feature is supported</w:t>
                  </w:r>
                </w:p>
              </w:tc>
              <w:tc>
                <w:tcPr>
                  <w:tcW w:w="0" w:type="auto"/>
                  <w:shd w:val="clear" w:color="auto" w:fill="auto"/>
                </w:tcPr>
                <w:p w14:paraId="3D331715"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eastAsia="Gulim" w:hAnsi="Arial" w:cs="Arial"/>
                      <w:b/>
                      <w:color w:val="000000"/>
                      <w:sz w:val="16"/>
                      <w:szCs w:val="18"/>
                    </w:rPr>
                    <w:t xml:space="preserve">Applicable to </w:t>
                  </w:r>
                  <w:r w:rsidRPr="00D06868">
                    <w:rPr>
                      <w:rFonts w:ascii="Arial" w:hAnsi="Arial" w:cs="Arial"/>
                      <w:b/>
                      <w:color w:val="000000"/>
                      <w:sz w:val="16"/>
                      <w:szCs w:val="18"/>
                    </w:rPr>
                    <w:t>the capability signalling exchange between UEs (V2X WI only)”.</w:t>
                  </w:r>
                </w:p>
              </w:tc>
              <w:tc>
                <w:tcPr>
                  <w:tcW w:w="0" w:type="auto"/>
                </w:tcPr>
                <w:p w14:paraId="6C096841" w14:textId="77777777" w:rsidR="00BB42CE" w:rsidRPr="00D06868" w:rsidRDefault="00BB42CE" w:rsidP="00BB42CE">
                  <w:pPr>
                    <w:keepNext/>
                    <w:keepLines/>
                    <w:rPr>
                      <w:rFonts w:ascii="Arial" w:hAnsi="Arial" w:cs="Arial"/>
                      <w:b/>
                      <w:color w:val="000000"/>
                      <w:sz w:val="16"/>
                      <w:szCs w:val="18"/>
                    </w:rPr>
                  </w:pPr>
                  <w:r w:rsidRPr="00D06868">
                    <w:rPr>
                      <w:rFonts w:ascii="Arial" w:hAnsi="Arial" w:cs="Arial"/>
                      <w:b/>
                      <w:color w:val="000000"/>
                      <w:sz w:val="16"/>
                      <w:szCs w:val="18"/>
                    </w:rPr>
                    <w:t>Consequence if the feature is not supported by the UE</w:t>
                  </w:r>
                </w:p>
              </w:tc>
              <w:tc>
                <w:tcPr>
                  <w:tcW w:w="0" w:type="auto"/>
                  <w:shd w:val="clear" w:color="auto" w:fill="auto"/>
                </w:tcPr>
                <w:p w14:paraId="3FF16778" w14:textId="77777777" w:rsidR="00BB42CE" w:rsidRPr="00D06868" w:rsidRDefault="00BB42CE" w:rsidP="00BB42CE">
                  <w:pPr>
                    <w:keepNext/>
                    <w:keepLines/>
                    <w:rPr>
                      <w:rFonts w:ascii="Arial" w:hAnsi="Arial" w:cs="Arial"/>
                      <w:b/>
                      <w:color w:val="000000"/>
                      <w:sz w:val="16"/>
                      <w:szCs w:val="18"/>
                    </w:rPr>
                  </w:pPr>
                  <w:r w:rsidRPr="00D06868">
                    <w:rPr>
                      <w:rFonts w:ascii="Arial" w:hAnsi="Arial" w:cs="Arial"/>
                      <w:b/>
                      <w:color w:val="000000"/>
                      <w:sz w:val="16"/>
                      <w:szCs w:val="18"/>
                    </w:rPr>
                    <w:t>Type</w:t>
                  </w:r>
                </w:p>
              </w:tc>
              <w:tc>
                <w:tcPr>
                  <w:tcW w:w="0" w:type="auto"/>
                  <w:shd w:val="clear" w:color="auto" w:fill="auto"/>
                </w:tcPr>
                <w:p w14:paraId="2B1B4920"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FDD/TDD differentiation</w:t>
                  </w:r>
                </w:p>
              </w:tc>
              <w:tc>
                <w:tcPr>
                  <w:tcW w:w="0" w:type="auto"/>
                  <w:shd w:val="clear" w:color="auto" w:fill="auto"/>
                </w:tcPr>
                <w:p w14:paraId="50D124FE"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FR1/FR2 differentiation</w:t>
                  </w:r>
                </w:p>
              </w:tc>
              <w:tc>
                <w:tcPr>
                  <w:tcW w:w="0" w:type="auto"/>
                </w:tcPr>
                <w:p w14:paraId="02851259"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Capability interpretation for mixture of FDD/TDD and/or FR1/FR2</w:t>
                  </w:r>
                </w:p>
              </w:tc>
              <w:tc>
                <w:tcPr>
                  <w:tcW w:w="0" w:type="auto"/>
                  <w:shd w:val="clear" w:color="auto" w:fill="auto"/>
                </w:tcPr>
                <w:p w14:paraId="461D8D4A"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Note</w:t>
                  </w:r>
                </w:p>
              </w:tc>
              <w:tc>
                <w:tcPr>
                  <w:tcW w:w="0" w:type="auto"/>
                  <w:shd w:val="clear" w:color="auto" w:fill="auto"/>
                </w:tcPr>
                <w:p w14:paraId="76C2291F" w14:textId="77777777" w:rsidR="00BB42CE" w:rsidRPr="00D06868" w:rsidRDefault="00BB42CE" w:rsidP="00BB42CE">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Mandatory/Optional</w:t>
                  </w:r>
                </w:p>
              </w:tc>
            </w:tr>
            <w:tr w:rsidR="00EF5BD6" w:rsidRPr="00D06868" w14:paraId="517DF9B9" w14:textId="77777777" w:rsidTr="00EF5BD6">
              <w:trPr>
                <w:trHeight w:val="609"/>
              </w:trPr>
              <w:tc>
                <w:tcPr>
                  <w:tcW w:w="478" w:type="dxa"/>
                  <w:shd w:val="clear" w:color="auto" w:fill="auto"/>
                </w:tcPr>
                <w:p w14:paraId="3C5B0D60" w14:textId="77777777" w:rsidR="00BB42CE" w:rsidRPr="00D06868" w:rsidRDefault="00BB42CE" w:rsidP="00BB42CE">
                  <w:pPr>
                    <w:keepNext/>
                    <w:keepLines/>
                    <w:rPr>
                      <w:rFonts w:ascii="Arial" w:eastAsiaTheme="minorEastAsia" w:hAnsi="Arial" w:cs="Arial"/>
                      <w:sz w:val="16"/>
                      <w:szCs w:val="18"/>
                    </w:rPr>
                  </w:pPr>
                  <w:r w:rsidRPr="00D06868">
                    <w:rPr>
                      <w:rFonts w:ascii="Arial" w:eastAsiaTheme="minorEastAsia" w:hAnsi="Arial" w:cs="Arial"/>
                      <w:sz w:val="16"/>
                      <w:szCs w:val="18"/>
                    </w:rPr>
                    <w:lastRenderedPageBreak/>
                    <w:t>[32-1]</w:t>
                  </w:r>
                </w:p>
              </w:tc>
              <w:tc>
                <w:tcPr>
                  <w:tcW w:w="1200" w:type="dxa"/>
                  <w:shd w:val="clear" w:color="auto" w:fill="auto"/>
                </w:tcPr>
                <w:p w14:paraId="0C1CEEE6"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in a FR</w:t>
                  </w:r>
                </w:p>
              </w:tc>
              <w:tc>
                <w:tcPr>
                  <w:tcW w:w="1200" w:type="dxa"/>
                  <w:shd w:val="clear" w:color="auto" w:fill="auto"/>
                </w:tcPr>
                <w:p w14:paraId="4D05AAEC" w14:textId="77777777" w:rsidR="00BB42CE" w:rsidRPr="00D06868" w:rsidRDefault="00BB42CE" w:rsidP="00BB42CE">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 xml:space="preserve">Support of multiple per-UE (or per-FR) measurement gap patterns with at least one per-UE (or per-FR) Pre-MG. Detail in </w:t>
                  </w:r>
                  <w:r w:rsidRPr="00D06868">
                    <w:rPr>
                      <w:rStyle w:val="normaltextrun"/>
                      <w:rFonts w:ascii="Arial" w:hAnsi="Arial" w:cs="Arial" w:hint="eastAsia"/>
                      <w:sz w:val="16"/>
                      <w:szCs w:val="18"/>
                    </w:rPr>
                    <w:t>C</w:t>
                  </w:r>
                  <w:r w:rsidRPr="00D06868">
                    <w:rPr>
                      <w:rStyle w:val="normaltextrun"/>
                      <w:rFonts w:ascii="Arial" w:hAnsi="Arial" w:cs="Arial"/>
                      <w:sz w:val="16"/>
                      <w:szCs w:val="18"/>
                    </w:rPr>
                    <w:t xml:space="preserve">lause </w:t>
                  </w:r>
                  <w:r w:rsidRPr="00D06868">
                    <w:rPr>
                      <w:rStyle w:val="normaltextrun"/>
                      <w:rFonts w:ascii="Arial" w:hAnsi="Arial" w:cs="Arial" w:hint="eastAsia"/>
                      <w:sz w:val="16"/>
                      <w:szCs w:val="18"/>
                    </w:rPr>
                    <w:t>[</w:t>
                  </w:r>
                  <w:r w:rsidRPr="00D06868">
                    <w:rPr>
                      <w:rStyle w:val="normaltextrun"/>
                      <w:rFonts w:ascii="Arial" w:hAnsi="Arial" w:cs="Arial"/>
                      <w:sz w:val="16"/>
                      <w:szCs w:val="18"/>
                    </w:rPr>
                    <w:t>9.1.x.2</w:t>
                  </w:r>
                  <w:r w:rsidRPr="00D06868">
                    <w:rPr>
                      <w:rStyle w:val="normaltextrun"/>
                      <w:rFonts w:ascii="Arial" w:hAnsi="Arial" w:cs="Arial" w:hint="eastAsia"/>
                      <w:sz w:val="16"/>
                      <w:szCs w:val="18"/>
                    </w:rPr>
                    <w:t>]</w:t>
                  </w:r>
                  <w:r w:rsidRPr="00D06868">
                    <w:rPr>
                      <w:rStyle w:val="normaltextrun"/>
                      <w:rFonts w:ascii="Arial" w:hAnsi="Arial" w:cs="Arial"/>
                      <w:sz w:val="16"/>
                      <w:szCs w:val="18"/>
                    </w:rPr>
                    <w:t xml:space="preserve"> of TS 38.133.</w:t>
                  </w:r>
                  <w:r w:rsidRPr="00D06868">
                    <w:rPr>
                      <w:rStyle w:val="eop"/>
                      <w:rFonts w:ascii="Arial" w:hAnsi="Arial" w:cs="Arial"/>
                      <w:sz w:val="16"/>
                      <w:szCs w:val="18"/>
                    </w:rPr>
                    <w:t> </w:t>
                  </w:r>
                </w:p>
                <w:p w14:paraId="6D7AF081" w14:textId="77777777" w:rsidR="00BB42CE" w:rsidRPr="00D06868" w:rsidRDefault="00BB42CE" w:rsidP="00BB42CE">
                  <w:pPr>
                    <w:rPr>
                      <w:rFonts w:ascii="Arial" w:eastAsiaTheme="minorEastAsia" w:hAnsi="Arial" w:cs="Arial"/>
                      <w:sz w:val="16"/>
                      <w:szCs w:val="18"/>
                    </w:rPr>
                  </w:pPr>
                </w:p>
              </w:tc>
              <w:tc>
                <w:tcPr>
                  <w:tcW w:w="412" w:type="dxa"/>
                  <w:shd w:val="clear" w:color="auto" w:fill="auto"/>
                </w:tcPr>
                <w:p w14:paraId="20697DBA" w14:textId="77777777" w:rsidR="00BB42CE" w:rsidRPr="00D06868" w:rsidRDefault="00BB42CE" w:rsidP="00BB42CE">
                  <w:pPr>
                    <w:keepNext/>
                    <w:keepLines/>
                    <w:rPr>
                      <w:rStyle w:val="normaltextrun"/>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19-3-x</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p w14:paraId="0A08FB9A" w14:textId="77777777" w:rsidR="00BB42CE" w:rsidRPr="00D06868" w:rsidRDefault="00BB42CE" w:rsidP="00BB42CE">
                  <w:pPr>
                    <w:keepNext/>
                    <w:keepLines/>
                    <w:rPr>
                      <w:rFonts w:ascii="Arial" w:eastAsia="PMingLiU" w:hAnsi="Arial" w:cs="Arial"/>
                      <w:sz w:val="16"/>
                      <w:szCs w:val="18"/>
                      <w:lang w:eastAsia="zh-TW"/>
                    </w:rPr>
                  </w:pPr>
                  <w:r w:rsidRPr="00D06868">
                    <w:rPr>
                      <w:rStyle w:val="normaltextrun"/>
                      <w:rFonts w:ascii="Arial" w:eastAsia="PMingLiU" w:hAnsi="Arial" w:cs="Arial"/>
                      <w:sz w:val="16"/>
                      <w:szCs w:val="18"/>
                      <w:lang w:eastAsia="zh-TW"/>
                    </w:rPr>
                    <w:t xml:space="preserve">x = 1 or 2 </w:t>
                  </w:r>
                </w:p>
              </w:tc>
              <w:tc>
                <w:tcPr>
                  <w:tcW w:w="1088" w:type="dxa"/>
                  <w:shd w:val="clear" w:color="auto" w:fill="auto"/>
                </w:tcPr>
                <w:p w14:paraId="15A8EACF"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0C44D2F5"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475DA69E"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Network should not configure 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w:t>
                  </w:r>
                </w:p>
              </w:tc>
              <w:tc>
                <w:tcPr>
                  <w:tcW w:w="0" w:type="auto"/>
                  <w:shd w:val="clear" w:color="auto" w:fill="auto"/>
                </w:tcPr>
                <w:p w14:paraId="6ECDDC47"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6A888AAC"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133CE47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221680DB"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545A052F"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1C85BBAF"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646D0165" w14:textId="77777777" w:rsidTr="00EF5BD6">
              <w:trPr>
                <w:trHeight w:val="391"/>
              </w:trPr>
              <w:tc>
                <w:tcPr>
                  <w:tcW w:w="478" w:type="dxa"/>
                  <w:shd w:val="clear" w:color="auto" w:fill="auto"/>
                </w:tcPr>
                <w:p w14:paraId="68E1FD2E"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2-2]</w:t>
                  </w:r>
                </w:p>
              </w:tc>
              <w:tc>
                <w:tcPr>
                  <w:tcW w:w="1200" w:type="dxa"/>
                  <w:shd w:val="clear" w:color="auto" w:fill="auto"/>
                </w:tcPr>
                <w:p w14:paraId="40BAB8C9"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2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configuration with simultaneous activation/deactivation</w:t>
                  </w:r>
                </w:p>
              </w:tc>
              <w:tc>
                <w:tcPr>
                  <w:tcW w:w="1200" w:type="dxa"/>
                  <w:shd w:val="clear" w:color="auto" w:fill="auto"/>
                </w:tcPr>
                <w:p w14:paraId="564FC026" w14:textId="77777777" w:rsidR="00BB42CE" w:rsidRPr="00D06868" w:rsidRDefault="00BB42CE" w:rsidP="00BB42CE">
                  <w:pPr>
                    <w:rPr>
                      <w:rFonts w:ascii="Arial" w:eastAsia="PMingLiU" w:hAnsi="Arial" w:cs="Arial"/>
                      <w:sz w:val="16"/>
                      <w:szCs w:val="18"/>
                      <w:lang w:eastAsia="zh-TW"/>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 xml:space="preserve">upport configurations of 2 Pre-MG with simultaneous activation/deactivation in the same FR. </w:t>
                  </w:r>
                </w:p>
              </w:tc>
              <w:tc>
                <w:tcPr>
                  <w:tcW w:w="412" w:type="dxa"/>
                  <w:shd w:val="clear" w:color="auto" w:fill="auto"/>
                </w:tcPr>
                <w:p w14:paraId="4C8B566F"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2-1</w:t>
                  </w:r>
                </w:p>
              </w:tc>
              <w:tc>
                <w:tcPr>
                  <w:tcW w:w="1088" w:type="dxa"/>
                  <w:shd w:val="clear" w:color="auto" w:fill="auto"/>
                </w:tcPr>
                <w:p w14:paraId="187FB7F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76C252AD"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17EABB06"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Unknown activation time for simultaneous Pre-MG is expected</w:t>
                  </w:r>
                </w:p>
              </w:tc>
              <w:tc>
                <w:tcPr>
                  <w:tcW w:w="0" w:type="auto"/>
                  <w:shd w:val="clear" w:color="auto" w:fill="auto"/>
                </w:tcPr>
                <w:p w14:paraId="2315988B"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E89CB4A"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57489199"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160691DF"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1516D216"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278640B4"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1729DBBF" w14:textId="77777777" w:rsidTr="00EF5BD6">
              <w:trPr>
                <w:trHeight w:val="187"/>
              </w:trPr>
              <w:tc>
                <w:tcPr>
                  <w:tcW w:w="478" w:type="dxa"/>
                  <w:shd w:val="clear" w:color="auto" w:fill="auto"/>
                </w:tcPr>
                <w:p w14:paraId="44DB6EE3"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2-3]</w:t>
                  </w:r>
                </w:p>
              </w:tc>
              <w:tc>
                <w:tcPr>
                  <w:tcW w:w="1200" w:type="dxa"/>
                  <w:shd w:val="clear" w:color="auto" w:fill="auto"/>
                </w:tcPr>
                <w:p w14:paraId="3139C339"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Dynamic collision</w:t>
                  </w:r>
                </w:p>
              </w:tc>
              <w:tc>
                <w:tcPr>
                  <w:tcW w:w="1200" w:type="dxa"/>
                  <w:shd w:val="clear" w:color="auto" w:fill="auto"/>
                </w:tcPr>
                <w:p w14:paraId="1003237F" w14:textId="77777777" w:rsidR="00BB42CE" w:rsidRPr="00D06868" w:rsidRDefault="00BB42CE" w:rsidP="00BB42CE">
                  <w:pPr>
                    <w:rPr>
                      <w:rFonts w:ascii="Arial" w:eastAsia="PMingLiU" w:hAnsi="Arial" w:cs="Arial"/>
                      <w:sz w:val="16"/>
                      <w:szCs w:val="18"/>
                      <w:lang w:eastAsia="zh-TW"/>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upport the RRM requirements when the activation/deactivation delay of Pre-MG overlaps the other measurement gap with lower priority or Pre-MG</w:t>
                  </w:r>
                </w:p>
              </w:tc>
              <w:tc>
                <w:tcPr>
                  <w:tcW w:w="412" w:type="dxa"/>
                  <w:shd w:val="clear" w:color="auto" w:fill="auto"/>
                </w:tcPr>
                <w:p w14:paraId="6375850B"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2-1</w:t>
                  </w:r>
                </w:p>
              </w:tc>
              <w:tc>
                <w:tcPr>
                  <w:tcW w:w="1088" w:type="dxa"/>
                  <w:shd w:val="clear" w:color="auto" w:fill="auto"/>
                </w:tcPr>
                <w:p w14:paraId="2E7DE2E5"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2E76343F"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07BF328D"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UE is not expected to meet the requirements</w:t>
                  </w:r>
                </w:p>
              </w:tc>
              <w:tc>
                <w:tcPr>
                  <w:tcW w:w="0" w:type="auto"/>
                  <w:shd w:val="clear" w:color="auto" w:fill="auto"/>
                </w:tcPr>
                <w:p w14:paraId="4D0300A5"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73CA757"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3CEC6F93"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5581325E"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5876236D"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473A0049"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776C5EEC" w14:textId="77777777" w:rsidTr="00EF5BD6">
              <w:trPr>
                <w:trHeight w:val="187"/>
              </w:trPr>
              <w:tc>
                <w:tcPr>
                  <w:tcW w:w="478" w:type="dxa"/>
                  <w:shd w:val="clear" w:color="auto" w:fill="auto"/>
                </w:tcPr>
                <w:p w14:paraId="3BDFDF17"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2-4]</w:t>
                  </w:r>
                </w:p>
              </w:tc>
              <w:tc>
                <w:tcPr>
                  <w:tcW w:w="1200" w:type="dxa"/>
                  <w:shd w:val="clear" w:color="auto" w:fill="auto"/>
                </w:tcPr>
                <w:p w14:paraId="167E51BF"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C</w:t>
                  </w:r>
                  <w:r w:rsidRPr="00D06868">
                    <w:rPr>
                      <w:rFonts w:ascii="Arial" w:eastAsia="PMingLiU" w:hAnsi="Arial" w:cs="Arial"/>
                      <w:sz w:val="16"/>
                      <w:szCs w:val="18"/>
                      <w:lang w:eastAsia="zh-TW"/>
                    </w:rPr>
                    <w:t>oncurrent gap with NCSG in a FR</w:t>
                  </w:r>
                </w:p>
              </w:tc>
              <w:tc>
                <w:tcPr>
                  <w:tcW w:w="1200" w:type="dxa"/>
                  <w:shd w:val="clear" w:color="auto" w:fill="auto"/>
                </w:tcPr>
                <w:p w14:paraId="0712BE71" w14:textId="77777777" w:rsidR="00BB42CE" w:rsidRPr="00D06868" w:rsidRDefault="00BB42CE" w:rsidP="00BB42CE">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Support of multiple per-UE (or per-FR) measurement gap patterns with at least one per-UE (or per-FR) NCSG. Detail in clause [9.1.y.2] of TS 38.133.</w:t>
                  </w:r>
                  <w:r w:rsidRPr="00D06868">
                    <w:rPr>
                      <w:rStyle w:val="eop"/>
                      <w:rFonts w:ascii="Arial" w:hAnsi="Arial" w:cs="Arial"/>
                      <w:sz w:val="16"/>
                      <w:szCs w:val="18"/>
                    </w:rPr>
                    <w:t> </w:t>
                  </w:r>
                </w:p>
                <w:p w14:paraId="7520B569" w14:textId="77777777" w:rsidR="00BB42CE" w:rsidRPr="00D06868" w:rsidRDefault="00BB42CE" w:rsidP="00BB42CE">
                  <w:pPr>
                    <w:rPr>
                      <w:rFonts w:ascii="Arial" w:hAnsi="Arial" w:cs="Arial"/>
                      <w:sz w:val="16"/>
                      <w:szCs w:val="18"/>
                    </w:rPr>
                  </w:pPr>
                </w:p>
              </w:tc>
              <w:tc>
                <w:tcPr>
                  <w:tcW w:w="412" w:type="dxa"/>
                  <w:shd w:val="clear" w:color="auto" w:fill="auto"/>
                </w:tcPr>
                <w:p w14:paraId="02DC7E7A" w14:textId="77777777" w:rsidR="00BB42CE" w:rsidRPr="00D06868" w:rsidRDefault="00BB42CE" w:rsidP="00BB42CE">
                  <w:pPr>
                    <w:keepNext/>
                    <w:keepLines/>
                    <w:rPr>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19-1</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tc>
              <w:tc>
                <w:tcPr>
                  <w:tcW w:w="1088" w:type="dxa"/>
                  <w:shd w:val="clear" w:color="auto" w:fill="auto"/>
                </w:tcPr>
                <w:p w14:paraId="5FECAF36"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160AA0DC"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30C9D42A"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Network should not configure concurrent gap with NCSG</w:t>
                  </w:r>
                </w:p>
              </w:tc>
              <w:tc>
                <w:tcPr>
                  <w:tcW w:w="0" w:type="auto"/>
                  <w:shd w:val="clear" w:color="auto" w:fill="auto"/>
                </w:tcPr>
                <w:p w14:paraId="49DD2A98"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44B7F32B"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5FF88C50"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5D2BD524"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759CBE7C"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19449748"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F5BD6" w:rsidRPr="00D06868" w14:paraId="02B9773A" w14:textId="77777777" w:rsidTr="00EF5BD6">
              <w:trPr>
                <w:trHeight w:val="187"/>
              </w:trPr>
              <w:tc>
                <w:tcPr>
                  <w:tcW w:w="478" w:type="dxa"/>
                  <w:shd w:val="clear" w:color="auto" w:fill="auto"/>
                </w:tcPr>
                <w:p w14:paraId="138285AA"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2-5]</w:t>
                  </w:r>
                </w:p>
              </w:tc>
              <w:tc>
                <w:tcPr>
                  <w:tcW w:w="1200" w:type="dxa"/>
                  <w:shd w:val="clear" w:color="auto" w:fill="auto"/>
                </w:tcPr>
                <w:p w14:paraId="114E7D0A"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2 NCSG configuration in a FR</w:t>
                  </w:r>
                </w:p>
              </w:tc>
              <w:tc>
                <w:tcPr>
                  <w:tcW w:w="1200" w:type="dxa"/>
                  <w:shd w:val="clear" w:color="auto" w:fill="auto"/>
                </w:tcPr>
                <w:p w14:paraId="0B1F978B" w14:textId="77777777" w:rsidR="00BB42CE" w:rsidRPr="00D06868" w:rsidRDefault="00BB42CE" w:rsidP="00BB42CE">
                  <w:pPr>
                    <w:rPr>
                      <w:rFonts w:ascii="Arial" w:hAnsi="Arial" w:cs="Arial"/>
                      <w:sz w:val="16"/>
                      <w:szCs w:val="18"/>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upport configurations of 2 NCSG in the same FR</w:t>
                  </w:r>
                </w:p>
              </w:tc>
              <w:tc>
                <w:tcPr>
                  <w:tcW w:w="412" w:type="dxa"/>
                  <w:shd w:val="clear" w:color="auto" w:fill="auto"/>
                </w:tcPr>
                <w:p w14:paraId="560557BB" w14:textId="77777777" w:rsidR="00BB42CE" w:rsidRPr="00D06868" w:rsidRDefault="00BB42CE" w:rsidP="00BB42CE">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2-4</w:t>
                  </w:r>
                </w:p>
              </w:tc>
              <w:tc>
                <w:tcPr>
                  <w:tcW w:w="1088" w:type="dxa"/>
                  <w:shd w:val="clear" w:color="auto" w:fill="auto"/>
                </w:tcPr>
                <w:p w14:paraId="26038F88"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71A60BC7"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0A1EB40D"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Network should not configure 2 NCSG in the same FR</w:t>
                  </w:r>
                </w:p>
              </w:tc>
              <w:tc>
                <w:tcPr>
                  <w:tcW w:w="0" w:type="auto"/>
                  <w:shd w:val="clear" w:color="auto" w:fill="auto"/>
                </w:tcPr>
                <w:p w14:paraId="56EE19C8" w14:textId="77777777" w:rsidR="00BB42CE" w:rsidRPr="00D06868" w:rsidRDefault="00BB42CE" w:rsidP="00BB42CE">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75FFD4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08853F2E" w14:textId="77777777" w:rsidR="00BB42CE" w:rsidRPr="00D06868" w:rsidRDefault="00BB42CE" w:rsidP="00BB42CE">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7AD570C5" w14:textId="77777777" w:rsidR="00BB42CE" w:rsidRPr="00D06868" w:rsidRDefault="00BB42CE" w:rsidP="00BB42CE">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69542415" w14:textId="77777777" w:rsidR="00BB42CE" w:rsidRPr="00D06868" w:rsidRDefault="00BB42CE" w:rsidP="00BB42CE">
                  <w:pPr>
                    <w:keepNext/>
                    <w:keepLines/>
                    <w:rPr>
                      <w:rFonts w:ascii="Arial" w:hAnsi="Arial" w:cs="Arial"/>
                      <w:sz w:val="16"/>
                      <w:szCs w:val="18"/>
                    </w:rPr>
                  </w:pPr>
                </w:p>
              </w:tc>
              <w:tc>
                <w:tcPr>
                  <w:tcW w:w="0" w:type="auto"/>
                  <w:shd w:val="clear" w:color="auto" w:fill="auto"/>
                </w:tcPr>
                <w:p w14:paraId="5BF936D5" w14:textId="77777777" w:rsidR="00BB42CE" w:rsidRPr="00D06868" w:rsidRDefault="00BB42CE" w:rsidP="00BB42CE">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bl>
          <w:p w14:paraId="5A3F32E1" w14:textId="7359686B" w:rsidR="00EB6FC8" w:rsidRPr="00E1452E" w:rsidRDefault="00EB6FC8" w:rsidP="00BB42CE">
            <w:pPr>
              <w:overflowPunct w:val="0"/>
              <w:autoSpaceDE w:val="0"/>
              <w:autoSpaceDN w:val="0"/>
              <w:adjustRightInd w:val="0"/>
              <w:textAlignment w:val="baseline"/>
              <w:rPr>
                <w:rFonts w:eastAsiaTheme="minorEastAsia"/>
                <w:sz w:val="20"/>
                <w:szCs w:val="20"/>
              </w:rPr>
            </w:pPr>
          </w:p>
        </w:tc>
      </w:tr>
    </w:tbl>
    <w:p w14:paraId="4679416F" w14:textId="24B23179" w:rsidR="00EB6FC8" w:rsidRPr="0013245B" w:rsidRDefault="00EB6FC8" w:rsidP="00491EB5">
      <w:pPr>
        <w:rPr>
          <w:rFonts w:eastAsiaTheme="minorEastAsia" w:cs="v4.2.0"/>
          <w:sz w:val="22"/>
          <w:szCs w:val="22"/>
          <w:highlight w:val="lightGray"/>
        </w:rPr>
      </w:pPr>
    </w:p>
    <w:p w14:paraId="6870A5DF" w14:textId="4E3A269D" w:rsidR="00037989" w:rsidRDefault="00037989" w:rsidP="00491EB5">
      <w:pPr>
        <w:rPr>
          <w:rFonts w:eastAsiaTheme="minorEastAsia" w:cs="v4.2.0"/>
          <w:sz w:val="22"/>
          <w:szCs w:val="22"/>
        </w:rPr>
      </w:pPr>
      <w:r w:rsidRPr="00037989">
        <w:rPr>
          <w:rFonts w:eastAsiaTheme="minorEastAsia" w:cs="v4.2.0" w:hint="eastAsia"/>
          <w:sz w:val="22"/>
          <w:szCs w:val="22"/>
        </w:rPr>
        <w:t>F</w:t>
      </w:r>
      <w:r w:rsidRPr="00037989">
        <w:rPr>
          <w:rFonts w:eastAsiaTheme="minorEastAsia" w:cs="v4.2.0"/>
          <w:sz w:val="22"/>
          <w:szCs w:val="22"/>
        </w:rPr>
        <w:t>or</w:t>
      </w:r>
      <w:r>
        <w:rPr>
          <w:rFonts w:eastAsiaTheme="minorEastAsia" w:cs="v4.2.0"/>
          <w:sz w:val="22"/>
          <w:szCs w:val="22"/>
        </w:rPr>
        <w:t xml:space="preserve"> c</w:t>
      </w:r>
      <w:r w:rsidR="00354343">
        <w:rPr>
          <w:rFonts w:eastAsiaTheme="minorEastAsia" w:cs="v4.2.0"/>
          <w:sz w:val="22"/>
          <w:szCs w:val="22"/>
        </w:rPr>
        <w:t xml:space="preserve">oncurrent gap with Pre-MG </w:t>
      </w:r>
      <w:r w:rsidR="005536AD" w:rsidRPr="005536AD">
        <w:rPr>
          <w:rFonts w:eastAsiaTheme="minorEastAsia" w:cs="v4.2.0"/>
          <w:sz w:val="22"/>
          <w:szCs w:val="22"/>
        </w:rPr>
        <w:t>in a FR</w:t>
      </w:r>
      <w:r w:rsidRPr="005536AD">
        <w:rPr>
          <w:rFonts w:eastAsiaTheme="minorEastAsia" w:cs="v4.2.0"/>
          <w:sz w:val="22"/>
          <w:szCs w:val="22"/>
        </w:rPr>
        <w:t>,</w:t>
      </w:r>
      <w:r>
        <w:rPr>
          <w:rFonts w:eastAsiaTheme="minorEastAsia" w:cs="v4.2.0"/>
          <w:sz w:val="22"/>
          <w:szCs w:val="22"/>
        </w:rPr>
        <w:t xml:space="preserve"> </w:t>
      </w:r>
      <w:r w:rsidR="00FB014B">
        <w:rPr>
          <w:rFonts w:eastAsiaTheme="minorEastAsia" w:cs="v4.2.0"/>
          <w:sz w:val="22"/>
          <w:szCs w:val="22"/>
        </w:rPr>
        <w:t xml:space="preserve">it was </w:t>
      </w:r>
      <w:r w:rsidR="00122C6F">
        <w:rPr>
          <w:rFonts w:eastAsiaTheme="minorEastAsia" w:cs="v4.2.0"/>
          <w:sz w:val="22"/>
          <w:szCs w:val="22"/>
        </w:rPr>
        <w:t xml:space="preserve">agreed to consider </w:t>
      </w:r>
      <w:r w:rsidR="00321779">
        <w:rPr>
          <w:rFonts w:eastAsiaTheme="minorEastAsia" w:cs="v4.2.0"/>
          <w:sz w:val="22"/>
          <w:szCs w:val="22"/>
        </w:rPr>
        <w:t xml:space="preserve">a new capability for </w:t>
      </w:r>
      <w:r w:rsidR="00122C6F">
        <w:rPr>
          <w:rFonts w:eastAsiaTheme="minorEastAsia" w:cs="v4.2.0"/>
          <w:sz w:val="22"/>
          <w:szCs w:val="22"/>
        </w:rPr>
        <w:t>c</w:t>
      </w:r>
      <w:r w:rsidR="00122C6F" w:rsidRPr="00122C6F">
        <w:rPr>
          <w:rFonts w:eastAsiaTheme="minorEastAsia" w:cs="v4.2.0"/>
          <w:sz w:val="22"/>
          <w:szCs w:val="22"/>
        </w:rPr>
        <w:t xml:space="preserve">oncurrent gap with </w:t>
      </w:r>
      <w:r w:rsidR="00122C6F">
        <w:rPr>
          <w:rFonts w:eastAsiaTheme="minorEastAsia" w:cs="v4.2.0"/>
          <w:sz w:val="22"/>
          <w:szCs w:val="22"/>
        </w:rPr>
        <w:t xml:space="preserve">at least one </w:t>
      </w:r>
      <w:r w:rsidR="00354343">
        <w:rPr>
          <w:rFonts w:eastAsiaTheme="minorEastAsia" w:cs="v4.2.0"/>
          <w:sz w:val="22"/>
          <w:szCs w:val="22"/>
        </w:rPr>
        <w:t>Pre-MG in the same</w:t>
      </w:r>
      <w:r w:rsidR="00122C6F" w:rsidRPr="00122C6F">
        <w:rPr>
          <w:rFonts w:eastAsiaTheme="minorEastAsia" w:cs="v4.2.0"/>
          <w:sz w:val="22"/>
          <w:szCs w:val="22"/>
        </w:rPr>
        <w:t xml:space="preserve"> FR</w:t>
      </w:r>
      <w:r w:rsidR="00122C6F">
        <w:rPr>
          <w:rFonts w:eastAsiaTheme="minorEastAsia" w:cs="v4.2.0"/>
          <w:sz w:val="22"/>
          <w:szCs w:val="22"/>
        </w:rPr>
        <w:t xml:space="preserve"> </w:t>
      </w:r>
      <w:r w:rsidR="00C64C9E">
        <w:rPr>
          <w:rFonts w:eastAsiaTheme="minorEastAsia" w:cs="v4.2.0"/>
          <w:sz w:val="22"/>
          <w:szCs w:val="22"/>
        </w:rPr>
        <w:t>in previous meeting.</w:t>
      </w:r>
    </w:p>
    <w:p w14:paraId="7B4ECE23" w14:textId="59311ED7" w:rsidR="00037989" w:rsidRDefault="00037989" w:rsidP="00491EB5">
      <w:pPr>
        <w:rPr>
          <w:rFonts w:eastAsiaTheme="minorEastAsia" w:cs="v4.2.0"/>
          <w:sz w:val="22"/>
          <w:szCs w:val="22"/>
        </w:rPr>
      </w:pPr>
      <w:r>
        <w:rPr>
          <w:rFonts w:eastAsiaTheme="minorEastAsia" w:cs="v4.2.0"/>
          <w:sz w:val="22"/>
          <w:szCs w:val="22"/>
        </w:rPr>
        <w:t xml:space="preserve">For </w:t>
      </w:r>
      <w:r w:rsidR="000523D1">
        <w:rPr>
          <w:rFonts w:eastAsiaTheme="minorEastAsia" w:cs="v4.2.0"/>
          <w:sz w:val="22"/>
          <w:szCs w:val="22"/>
        </w:rPr>
        <w:t>two</w:t>
      </w:r>
      <w:r w:rsidRPr="00037989">
        <w:rPr>
          <w:rFonts w:eastAsiaTheme="minorEastAsia" w:cs="v4.2.0"/>
          <w:sz w:val="22"/>
          <w:szCs w:val="22"/>
        </w:rPr>
        <w:t xml:space="preserve"> Pre-MG</w:t>
      </w:r>
      <w:r w:rsidR="00BD179F">
        <w:rPr>
          <w:rFonts w:eastAsiaTheme="minorEastAsia" w:cs="v4.2.0"/>
          <w:sz w:val="22"/>
          <w:szCs w:val="22"/>
        </w:rPr>
        <w:t>s</w:t>
      </w:r>
      <w:r w:rsidRPr="00037989">
        <w:rPr>
          <w:rFonts w:eastAsiaTheme="minorEastAsia" w:cs="v4.2.0"/>
          <w:sz w:val="22"/>
          <w:szCs w:val="22"/>
        </w:rPr>
        <w:t xml:space="preserve"> configuration with simultaneous activation/deactivation</w:t>
      </w:r>
      <w:r>
        <w:rPr>
          <w:rFonts w:eastAsiaTheme="minorEastAsia" w:cs="v4.2.0"/>
          <w:sz w:val="22"/>
          <w:szCs w:val="22"/>
        </w:rPr>
        <w:t xml:space="preserve">, it was agreed that </w:t>
      </w:r>
      <w:r>
        <w:rPr>
          <w:rFonts w:eastAsiaTheme="minorEastAsia" w:cs="v4.2.0" w:hint="eastAsia"/>
          <w:sz w:val="22"/>
          <w:szCs w:val="22"/>
        </w:rPr>
        <w:t>i</w:t>
      </w:r>
      <w:r w:rsidRPr="00037989">
        <w:rPr>
          <w:rFonts w:eastAsiaTheme="minorEastAsia" w:cs="v4.2.0"/>
          <w:sz w:val="22"/>
          <w:szCs w:val="22"/>
        </w:rPr>
        <w:t xml:space="preserve">t is up to UE capability to support the simultaneous activation/deactivation of two Pre-MGs in the same FR </w:t>
      </w:r>
      <w:r w:rsidR="003C229E">
        <w:rPr>
          <w:rFonts w:eastAsiaTheme="minorEastAsia" w:cs="v4.2.0"/>
          <w:sz w:val="22"/>
          <w:szCs w:val="22"/>
        </w:rPr>
        <w:t>in previous meeting.</w:t>
      </w:r>
    </w:p>
    <w:p w14:paraId="6ACBDE44" w14:textId="0FBFAB68" w:rsidR="00037989" w:rsidRPr="00037989" w:rsidRDefault="00037989" w:rsidP="00491EB5">
      <w:pPr>
        <w:rPr>
          <w:rFonts w:eastAsiaTheme="minorEastAsia" w:cs="v4.2.0"/>
          <w:sz w:val="22"/>
          <w:szCs w:val="22"/>
        </w:rPr>
      </w:pPr>
      <w:r>
        <w:rPr>
          <w:rFonts w:eastAsiaTheme="minorEastAsia" w:cs="v4.2.0"/>
          <w:sz w:val="22"/>
          <w:szCs w:val="22"/>
        </w:rPr>
        <w:lastRenderedPageBreak/>
        <w:t>For d</w:t>
      </w:r>
      <w:r w:rsidRPr="00037989">
        <w:rPr>
          <w:rFonts w:eastAsiaTheme="minorEastAsia" w:cs="v4.2.0"/>
          <w:sz w:val="22"/>
          <w:szCs w:val="22"/>
        </w:rPr>
        <w:t>ynamic collision</w:t>
      </w:r>
      <w:r>
        <w:rPr>
          <w:rFonts w:eastAsiaTheme="minorEastAsia" w:cs="v4.2.0"/>
          <w:sz w:val="22"/>
          <w:szCs w:val="22"/>
        </w:rPr>
        <w:t>,</w:t>
      </w:r>
      <w:r w:rsidR="00775BFF">
        <w:rPr>
          <w:rFonts w:eastAsiaTheme="minorEastAsia" w:cs="v4.2.0"/>
          <w:sz w:val="22"/>
          <w:szCs w:val="22"/>
        </w:rPr>
        <w:t xml:space="preserve"> in our understanding,</w:t>
      </w:r>
      <w:r>
        <w:rPr>
          <w:rFonts w:eastAsiaTheme="minorEastAsia" w:cs="v4.2.0"/>
          <w:sz w:val="22"/>
          <w:szCs w:val="22"/>
        </w:rPr>
        <w:t xml:space="preserve"> </w:t>
      </w:r>
      <w:r w:rsidR="00852795" w:rsidRPr="00852795">
        <w:rPr>
          <w:rFonts w:eastAsiaTheme="minorEastAsia" w:cs="v4.2.0"/>
          <w:sz w:val="22"/>
          <w:szCs w:val="22"/>
        </w:rPr>
        <w:t>if UE supports the capability of Pre-MG and concurrent MG, the ability for dynamic collision can be supported by default. Therefore, additional UE capability for dynamic collisions is not needed.</w:t>
      </w:r>
    </w:p>
    <w:p w14:paraId="3FE9514A" w14:textId="54DA9B80" w:rsidR="00037989" w:rsidRDefault="00ED4AF6" w:rsidP="00ED4AF6">
      <w:pPr>
        <w:rPr>
          <w:rFonts w:eastAsiaTheme="minorEastAsia" w:cs="v4.2.0"/>
          <w:b/>
          <w:sz w:val="22"/>
          <w:szCs w:val="22"/>
        </w:rPr>
      </w:pPr>
      <w:r w:rsidRPr="005A036A">
        <w:rPr>
          <w:rFonts w:eastAsiaTheme="minorEastAsia" w:cs="v4.2.0"/>
          <w:b/>
          <w:sz w:val="22"/>
          <w:szCs w:val="22"/>
        </w:rPr>
        <w:t>Observation 1:</w:t>
      </w:r>
      <w:r w:rsidR="00EB57AF">
        <w:rPr>
          <w:rFonts w:eastAsiaTheme="minorEastAsia" w:cs="v4.2.0"/>
          <w:b/>
          <w:sz w:val="22"/>
          <w:szCs w:val="22"/>
        </w:rPr>
        <w:t xml:space="preserve"> </w:t>
      </w:r>
      <w:r w:rsidR="00533C4C" w:rsidRPr="00533C4C">
        <w:rPr>
          <w:rFonts w:eastAsiaTheme="minorEastAsia" w:cs="v4.2.0"/>
          <w:b/>
          <w:sz w:val="22"/>
          <w:szCs w:val="22"/>
        </w:rPr>
        <w:t xml:space="preserve">For concurrent gap with Pre-MG </w:t>
      </w:r>
      <w:r w:rsidR="00B766E4" w:rsidRPr="00B766E4">
        <w:rPr>
          <w:rFonts w:eastAsiaTheme="minorEastAsia" w:cs="v4.2.0"/>
          <w:b/>
          <w:sz w:val="22"/>
          <w:szCs w:val="22"/>
        </w:rPr>
        <w:t>in a FR</w:t>
      </w:r>
      <w:r w:rsidR="00533C4C" w:rsidRPr="00B766E4">
        <w:rPr>
          <w:rFonts w:eastAsiaTheme="minorEastAsia" w:cs="v4.2.0"/>
          <w:b/>
          <w:sz w:val="22"/>
          <w:szCs w:val="22"/>
        </w:rPr>
        <w:t>,</w:t>
      </w:r>
      <w:r w:rsidR="00533C4C" w:rsidRPr="00533C4C">
        <w:rPr>
          <w:rFonts w:eastAsiaTheme="minorEastAsia" w:cs="v4.2.0"/>
          <w:b/>
          <w:sz w:val="22"/>
          <w:szCs w:val="22"/>
        </w:rPr>
        <w:t xml:space="preserve"> it was agreed to consider a new capability for concurrent gap with at least one Pre-MG in </w:t>
      </w:r>
      <w:r w:rsidR="00533C4C">
        <w:rPr>
          <w:rFonts w:eastAsiaTheme="minorEastAsia" w:cs="v4.2.0"/>
          <w:b/>
          <w:sz w:val="22"/>
          <w:szCs w:val="22"/>
        </w:rPr>
        <w:t>the same FR in previous meeting</w:t>
      </w:r>
      <w:r w:rsidR="00EB57AF" w:rsidRPr="00EB57AF">
        <w:rPr>
          <w:rFonts w:eastAsiaTheme="minorEastAsia" w:cs="v4.2.0"/>
          <w:b/>
          <w:sz w:val="22"/>
          <w:szCs w:val="22"/>
        </w:rPr>
        <w:t>.</w:t>
      </w:r>
    </w:p>
    <w:p w14:paraId="0FDA2855" w14:textId="48EA64A2" w:rsidR="00EB57AF" w:rsidRDefault="00EB57AF" w:rsidP="00ED4AF6">
      <w:pPr>
        <w:rPr>
          <w:rFonts w:eastAsiaTheme="minorEastAsia" w:cs="v4.2.0"/>
          <w:b/>
          <w:sz w:val="22"/>
          <w:szCs w:val="22"/>
        </w:rPr>
      </w:pPr>
      <w:r w:rsidRPr="005A036A">
        <w:rPr>
          <w:rFonts w:eastAsiaTheme="minorEastAsia" w:cs="v4.2.0"/>
          <w:b/>
          <w:sz w:val="22"/>
          <w:szCs w:val="22"/>
        </w:rPr>
        <w:t>Observ</w:t>
      </w:r>
      <w:r>
        <w:rPr>
          <w:rFonts w:eastAsiaTheme="minorEastAsia" w:cs="v4.2.0"/>
          <w:b/>
          <w:sz w:val="22"/>
          <w:szCs w:val="22"/>
        </w:rPr>
        <w:t>ation 2</w:t>
      </w:r>
      <w:r w:rsidRPr="005A036A">
        <w:rPr>
          <w:rFonts w:eastAsiaTheme="minorEastAsia" w:cs="v4.2.0"/>
          <w:b/>
          <w:sz w:val="22"/>
          <w:szCs w:val="22"/>
        </w:rPr>
        <w:t>:</w:t>
      </w:r>
      <w:r>
        <w:rPr>
          <w:rFonts w:eastAsiaTheme="minorEastAsia" w:cs="v4.2.0"/>
          <w:b/>
          <w:sz w:val="22"/>
          <w:szCs w:val="22"/>
        </w:rPr>
        <w:t xml:space="preserve"> </w:t>
      </w:r>
      <w:r w:rsidR="00533C4C" w:rsidRPr="00533C4C">
        <w:rPr>
          <w:rFonts w:eastAsiaTheme="minorEastAsia" w:cs="v4.2.0"/>
          <w:b/>
          <w:sz w:val="22"/>
          <w:szCs w:val="22"/>
        </w:rPr>
        <w:t>For two Pre-MGs configuration with simultaneous activation/deactivation, it was agreed that it is up to UE capability to support the simultaneous activation/deactivation of two Pre-MGs in the same FR in previous meeting</w:t>
      </w:r>
      <w:r w:rsidRPr="00EB57AF">
        <w:rPr>
          <w:rFonts w:eastAsiaTheme="minorEastAsia" w:cs="v4.2.0"/>
          <w:b/>
          <w:sz w:val="22"/>
          <w:szCs w:val="22"/>
        </w:rPr>
        <w:t>.</w:t>
      </w:r>
    </w:p>
    <w:p w14:paraId="09CCF5CD" w14:textId="21F05E97" w:rsidR="00EB57AF" w:rsidRDefault="00EB57AF" w:rsidP="00ED4AF6">
      <w:pPr>
        <w:rPr>
          <w:rFonts w:eastAsiaTheme="minorEastAsia" w:cs="v4.2.0"/>
          <w:b/>
          <w:sz w:val="22"/>
          <w:szCs w:val="22"/>
        </w:rPr>
      </w:pPr>
      <w:r w:rsidRPr="005A036A">
        <w:rPr>
          <w:rFonts w:eastAsiaTheme="minorEastAsia" w:cs="v4.2.0"/>
          <w:b/>
          <w:sz w:val="22"/>
          <w:szCs w:val="22"/>
        </w:rPr>
        <w:t>Observ</w:t>
      </w:r>
      <w:r>
        <w:rPr>
          <w:rFonts w:eastAsiaTheme="minorEastAsia" w:cs="v4.2.0"/>
          <w:b/>
          <w:sz w:val="22"/>
          <w:szCs w:val="22"/>
        </w:rPr>
        <w:t>ation 3</w:t>
      </w:r>
      <w:r w:rsidRPr="005A036A">
        <w:rPr>
          <w:rFonts w:eastAsiaTheme="minorEastAsia" w:cs="v4.2.0"/>
          <w:b/>
          <w:sz w:val="22"/>
          <w:szCs w:val="22"/>
        </w:rPr>
        <w:t>:</w:t>
      </w:r>
      <w:r>
        <w:rPr>
          <w:rFonts w:eastAsiaTheme="minorEastAsia" w:cs="v4.2.0"/>
          <w:b/>
          <w:sz w:val="22"/>
          <w:szCs w:val="22"/>
        </w:rPr>
        <w:t xml:space="preserve"> </w:t>
      </w:r>
      <w:r w:rsidR="00CB13EE" w:rsidRPr="00CB13EE">
        <w:rPr>
          <w:rFonts w:eastAsiaTheme="minorEastAsia" w:cs="v4.2.0"/>
          <w:b/>
          <w:sz w:val="22"/>
          <w:szCs w:val="22"/>
        </w:rPr>
        <w:t>For dynamic collision, if UE supports the capability of Pre-MG and concurrent MG, the ability for dynamic collision can be supported by default. Therefore, additional UE capability for dynamic collisions is not needed.</w:t>
      </w:r>
    </w:p>
    <w:p w14:paraId="1A2F52EB" w14:textId="566E9036" w:rsidR="00C142DF" w:rsidRDefault="00C142DF" w:rsidP="00ED4AF6">
      <w:pPr>
        <w:rPr>
          <w:rFonts w:eastAsiaTheme="minorEastAsia" w:cs="v4.2.0"/>
          <w:b/>
          <w:sz w:val="22"/>
          <w:szCs w:val="22"/>
        </w:rPr>
      </w:pPr>
      <w:r w:rsidRPr="005A036A">
        <w:rPr>
          <w:rFonts w:eastAsiaTheme="minorEastAsia" w:cs="v4.2.0"/>
          <w:b/>
          <w:sz w:val="22"/>
          <w:szCs w:val="22"/>
        </w:rPr>
        <w:t xml:space="preserve">Proposal 1: </w:t>
      </w:r>
      <w:r w:rsidRPr="00B504FF">
        <w:rPr>
          <w:rFonts w:eastAsiaTheme="minorEastAsia" w:cs="v4.2.0"/>
          <w:b/>
          <w:sz w:val="22"/>
          <w:szCs w:val="22"/>
        </w:rPr>
        <w:t>Feature list for</w:t>
      </w:r>
      <w:r>
        <w:rPr>
          <w:rFonts w:eastAsiaTheme="minorEastAsia" w:cs="v4.2.0"/>
          <w:b/>
          <w:sz w:val="22"/>
          <w:szCs w:val="22"/>
        </w:rPr>
        <w:t xml:space="preserve"> </w:t>
      </w:r>
      <w:r w:rsidR="00F94612" w:rsidRPr="00F94612">
        <w:rPr>
          <w:rFonts w:eastAsiaTheme="minorEastAsia" w:cs="v4.2.0"/>
          <w:b/>
          <w:sz w:val="22"/>
          <w:szCs w:val="22"/>
        </w:rPr>
        <w:t>Case 1 Pre-MG and concurrent MG</w:t>
      </w:r>
      <w:r w:rsidR="00F94612">
        <w:rPr>
          <w:rFonts w:eastAsiaTheme="minorEastAsia" w:cs="v4.2.0"/>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658"/>
        <w:gridCol w:w="1658"/>
        <w:gridCol w:w="1062"/>
        <w:gridCol w:w="932"/>
        <w:gridCol w:w="957"/>
        <w:gridCol w:w="1177"/>
        <w:gridCol w:w="558"/>
        <w:gridCol w:w="1192"/>
        <w:gridCol w:w="1192"/>
        <w:gridCol w:w="1160"/>
        <w:gridCol w:w="542"/>
        <w:gridCol w:w="1591"/>
      </w:tblGrid>
      <w:tr w:rsidR="008016EF" w:rsidRPr="00D06868" w14:paraId="6A04237C" w14:textId="77777777" w:rsidTr="008016EF">
        <w:trPr>
          <w:trHeight w:val="20"/>
        </w:trPr>
        <w:tc>
          <w:tcPr>
            <w:tcW w:w="599" w:type="dxa"/>
            <w:shd w:val="clear" w:color="auto" w:fill="auto"/>
          </w:tcPr>
          <w:p w14:paraId="3B8C7261"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Index</w:t>
            </w:r>
          </w:p>
        </w:tc>
        <w:tc>
          <w:tcPr>
            <w:tcW w:w="1658" w:type="dxa"/>
            <w:shd w:val="clear" w:color="auto" w:fill="auto"/>
          </w:tcPr>
          <w:p w14:paraId="160CD639"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Feature group</w:t>
            </w:r>
          </w:p>
        </w:tc>
        <w:tc>
          <w:tcPr>
            <w:tcW w:w="1658" w:type="dxa"/>
            <w:shd w:val="clear" w:color="auto" w:fill="auto"/>
          </w:tcPr>
          <w:p w14:paraId="0582FA2A"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Components</w:t>
            </w:r>
          </w:p>
          <w:p w14:paraId="0CC3CC3E"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p>
        </w:tc>
        <w:tc>
          <w:tcPr>
            <w:tcW w:w="1062" w:type="dxa"/>
            <w:shd w:val="clear" w:color="auto" w:fill="auto"/>
          </w:tcPr>
          <w:p w14:paraId="4E7F15BA"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Prerequisite feature groups</w:t>
            </w:r>
          </w:p>
        </w:tc>
        <w:tc>
          <w:tcPr>
            <w:tcW w:w="932" w:type="dxa"/>
            <w:shd w:val="clear" w:color="auto" w:fill="auto"/>
          </w:tcPr>
          <w:p w14:paraId="7C716B0A"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for the gNB to know if the feature is supported</w:t>
            </w:r>
          </w:p>
        </w:tc>
        <w:tc>
          <w:tcPr>
            <w:tcW w:w="0" w:type="auto"/>
            <w:shd w:val="clear" w:color="auto" w:fill="auto"/>
          </w:tcPr>
          <w:p w14:paraId="2624631C"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eastAsia="Gulim" w:hAnsi="Arial" w:cs="Arial"/>
                <w:b/>
                <w:color w:val="000000"/>
                <w:sz w:val="16"/>
                <w:szCs w:val="18"/>
              </w:rPr>
              <w:t xml:space="preserve">Applicable to </w:t>
            </w:r>
            <w:r w:rsidRPr="00D06868">
              <w:rPr>
                <w:rFonts w:ascii="Arial" w:hAnsi="Arial" w:cs="Arial"/>
                <w:b/>
                <w:color w:val="000000"/>
                <w:sz w:val="16"/>
                <w:szCs w:val="18"/>
              </w:rPr>
              <w:t>the capability signalling exchange between UEs (V2X WI only)”.</w:t>
            </w:r>
          </w:p>
        </w:tc>
        <w:tc>
          <w:tcPr>
            <w:tcW w:w="0" w:type="auto"/>
          </w:tcPr>
          <w:p w14:paraId="5CFAE20A" w14:textId="77777777" w:rsidR="008016EF" w:rsidRPr="00D06868" w:rsidRDefault="008016EF" w:rsidP="00391E88">
            <w:pPr>
              <w:keepNext/>
              <w:keepLines/>
              <w:rPr>
                <w:rFonts w:ascii="Arial" w:hAnsi="Arial" w:cs="Arial"/>
                <w:b/>
                <w:color w:val="000000"/>
                <w:sz w:val="16"/>
                <w:szCs w:val="18"/>
              </w:rPr>
            </w:pPr>
            <w:r w:rsidRPr="00D06868">
              <w:rPr>
                <w:rFonts w:ascii="Arial" w:hAnsi="Arial" w:cs="Arial"/>
                <w:b/>
                <w:color w:val="000000"/>
                <w:sz w:val="16"/>
                <w:szCs w:val="18"/>
              </w:rPr>
              <w:t>Consequence if the feature is not supported by the UE</w:t>
            </w:r>
          </w:p>
        </w:tc>
        <w:tc>
          <w:tcPr>
            <w:tcW w:w="0" w:type="auto"/>
            <w:shd w:val="clear" w:color="auto" w:fill="auto"/>
          </w:tcPr>
          <w:p w14:paraId="1FBE94AB" w14:textId="77777777" w:rsidR="008016EF" w:rsidRPr="00D06868" w:rsidRDefault="008016EF" w:rsidP="00391E88">
            <w:pPr>
              <w:keepNext/>
              <w:keepLines/>
              <w:rPr>
                <w:rFonts w:ascii="Arial" w:hAnsi="Arial" w:cs="Arial"/>
                <w:b/>
                <w:color w:val="000000"/>
                <w:sz w:val="16"/>
                <w:szCs w:val="18"/>
              </w:rPr>
            </w:pPr>
            <w:r w:rsidRPr="00D06868">
              <w:rPr>
                <w:rFonts w:ascii="Arial" w:hAnsi="Arial" w:cs="Arial"/>
                <w:b/>
                <w:color w:val="000000"/>
                <w:sz w:val="16"/>
                <w:szCs w:val="18"/>
              </w:rPr>
              <w:t>Type</w:t>
            </w:r>
          </w:p>
        </w:tc>
        <w:tc>
          <w:tcPr>
            <w:tcW w:w="0" w:type="auto"/>
            <w:shd w:val="clear" w:color="auto" w:fill="auto"/>
          </w:tcPr>
          <w:p w14:paraId="6D5A2156"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FDD/TDD differentiation</w:t>
            </w:r>
          </w:p>
        </w:tc>
        <w:tc>
          <w:tcPr>
            <w:tcW w:w="0" w:type="auto"/>
            <w:shd w:val="clear" w:color="auto" w:fill="auto"/>
          </w:tcPr>
          <w:p w14:paraId="35BDC971"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FR1/FR2 differentiation</w:t>
            </w:r>
          </w:p>
        </w:tc>
        <w:tc>
          <w:tcPr>
            <w:tcW w:w="0" w:type="auto"/>
          </w:tcPr>
          <w:p w14:paraId="4CE5CECA"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Capability interpretation for mixture of FDD/TDD and/or FR1/FR2</w:t>
            </w:r>
          </w:p>
        </w:tc>
        <w:tc>
          <w:tcPr>
            <w:tcW w:w="0" w:type="auto"/>
            <w:shd w:val="clear" w:color="auto" w:fill="auto"/>
          </w:tcPr>
          <w:p w14:paraId="273AF3F3"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Note</w:t>
            </w:r>
          </w:p>
        </w:tc>
        <w:tc>
          <w:tcPr>
            <w:tcW w:w="0" w:type="auto"/>
            <w:shd w:val="clear" w:color="auto" w:fill="auto"/>
          </w:tcPr>
          <w:p w14:paraId="1BAD7F94" w14:textId="77777777" w:rsidR="008016EF" w:rsidRPr="00D06868" w:rsidRDefault="008016EF"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Mandatory/Optional</w:t>
            </w:r>
          </w:p>
        </w:tc>
      </w:tr>
      <w:tr w:rsidR="008016EF" w:rsidRPr="00D06868" w14:paraId="7AF36EC8" w14:textId="77777777" w:rsidTr="008016EF">
        <w:trPr>
          <w:trHeight w:val="609"/>
        </w:trPr>
        <w:tc>
          <w:tcPr>
            <w:tcW w:w="599" w:type="dxa"/>
            <w:shd w:val="clear" w:color="auto" w:fill="auto"/>
          </w:tcPr>
          <w:p w14:paraId="3BD23A44" w14:textId="77777777" w:rsidR="008016EF" w:rsidRPr="00D06868" w:rsidRDefault="008016EF" w:rsidP="00391E88">
            <w:pPr>
              <w:keepNext/>
              <w:keepLines/>
              <w:rPr>
                <w:rFonts w:ascii="Arial" w:eastAsiaTheme="minorEastAsia" w:hAnsi="Arial" w:cs="Arial"/>
                <w:sz w:val="16"/>
                <w:szCs w:val="18"/>
              </w:rPr>
            </w:pPr>
            <w:r w:rsidRPr="00D06868">
              <w:rPr>
                <w:rFonts w:ascii="Arial" w:eastAsiaTheme="minorEastAsia" w:hAnsi="Arial" w:cs="Arial"/>
                <w:sz w:val="16"/>
                <w:szCs w:val="18"/>
              </w:rPr>
              <w:t>[32-1]</w:t>
            </w:r>
          </w:p>
        </w:tc>
        <w:tc>
          <w:tcPr>
            <w:tcW w:w="1658" w:type="dxa"/>
            <w:shd w:val="clear" w:color="auto" w:fill="auto"/>
          </w:tcPr>
          <w:p w14:paraId="0B1223F7" w14:textId="77777777" w:rsidR="008016EF" w:rsidRPr="00D06868" w:rsidRDefault="008016EF"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in a FR</w:t>
            </w:r>
          </w:p>
        </w:tc>
        <w:tc>
          <w:tcPr>
            <w:tcW w:w="1658" w:type="dxa"/>
            <w:shd w:val="clear" w:color="auto" w:fill="auto"/>
          </w:tcPr>
          <w:p w14:paraId="51FA655D" w14:textId="77777777" w:rsidR="008016EF" w:rsidRPr="00D06868" w:rsidRDefault="008016EF" w:rsidP="00391E88">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 xml:space="preserve">Support of multiple per-UE (or per-FR) measurement gap patterns with at least one per-UE (or per-FR) Pre-MG. Detail in </w:t>
            </w:r>
            <w:r w:rsidRPr="00D06868">
              <w:rPr>
                <w:rStyle w:val="normaltextrun"/>
                <w:rFonts w:ascii="Arial" w:hAnsi="Arial" w:cs="Arial" w:hint="eastAsia"/>
                <w:sz w:val="16"/>
                <w:szCs w:val="18"/>
              </w:rPr>
              <w:t>C</w:t>
            </w:r>
            <w:r w:rsidRPr="00D06868">
              <w:rPr>
                <w:rStyle w:val="normaltextrun"/>
                <w:rFonts w:ascii="Arial" w:hAnsi="Arial" w:cs="Arial"/>
                <w:sz w:val="16"/>
                <w:szCs w:val="18"/>
              </w:rPr>
              <w:t xml:space="preserve">lause </w:t>
            </w:r>
            <w:r w:rsidRPr="00D06868">
              <w:rPr>
                <w:rStyle w:val="normaltextrun"/>
                <w:rFonts w:ascii="Arial" w:hAnsi="Arial" w:cs="Arial" w:hint="eastAsia"/>
                <w:sz w:val="16"/>
                <w:szCs w:val="18"/>
              </w:rPr>
              <w:t>[</w:t>
            </w:r>
            <w:r w:rsidRPr="00D06868">
              <w:rPr>
                <w:rStyle w:val="normaltextrun"/>
                <w:rFonts w:ascii="Arial" w:hAnsi="Arial" w:cs="Arial"/>
                <w:sz w:val="16"/>
                <w:szCs w:val="18"/>
              </w:rPr>
              <w:t>9.1.x.2</w:t>
            </w:r>
            <w:r w:rsidRPr="00D06868">
              <w:rPr>
                <w:rStyle w:val="normaltextrun"/>
                <w:rFonts w:ascii="Arial" w:hAnsi="Arial" w:cs="Arial" w:hint="eastAsia"/>
                <w:sz w:val="16"/>
                <w:szCs w:val="18"/>
              </w:rPr>
              <w:t>]</w:t>
            </w:r>
            <w:r w:rsidRPr="00D06868">
              <w:rPr>
                <w:rStyle w:val="normaltextrun"/>
                <w:rFonts w:ascii="Arial" w:hAnsi="Arial" w:cs="Arial"/>
                <w:sz w:val="16"/>
                <w:szCs w:val="18"/>
              </w:rPr>
              <w:t xml:space="preserve"> of TS 38.133.</w:t>
            </w:r>
            <w:r w:rsidRPr="00D06868">
              <w:rPr>
                <w:rStyle w:val="eop"/>
                <w:rFonts w:ascii="Arial" w:hAnsi="Arial" w:cs="Arial"/>
                <w:sz w:val="16"/>
                <w:szCs w:val="18"/>
              </w:rPr>
              <w:t> </w:t>
            </w:r>
          </w:p>
          <w:p w14:paraId="0E0F8831" w14:textId="77777777" w:rsidR="008016EF" w:rsidRPr="00D06868" w:rsidRDefault="008016EF" w:rsidP="00391E88">
            <w:pPr>
              <w:rPr>
                <w:rFonts w:ascii="Arial" w:eastAsiaTheme="minorEastAsia" w:hAnsi="Arial" w:cs="Arial"/>
                <w:sz w:val="16"/>
                <w:szCs w:val="18"/>
              </w:rPr>
            </w:pPr>
          </w:p>
        </w:tc>
        <w:tc>
          <w:tcPr>
            <w:tcW w:w="1062" w:type="dxa"/>
            <w:shd w:val="clear" w:color="auto" w:fill="auto"/>
          </w:tcPr>
          <w:p w14:paraId="04E86665" w14:textId="77777777" w:rsidR="008016EF" w:rsidRPr="00D06868" w:rsidRDefault="008016EF" w:rsidP="00391E88">
            <w:pPr>
              <w:keepNext/>
              <w:keepLines/>
              <w:rPr>
                <w:rStyle w:val="normaltextrun"/>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19-3-x</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p w14:paraId="62ACD2B5" w14:textId="77777777" w:rsidR="008016EF" w:rsidRPr="00D06868" w:rsidRDefault="008016EF" w:rsidP="00391E88">
            <w:pPr>
              <w:keepNext/>
              <w:keepLines/>
              <w:rPr>
                <w:rFonts w:ascii="Arial" w:eastAsia="PMingLiU" w:hAnsi="Arial" w:cs="Arial"/>
                <w:sz w:val="16"/>
                <w:szCs w:val="18"/>
                <w:lang w:eastAsia="zh-TW"/>
              </w:rPr>
            </w:pPr>
            <w:r w:rsidRPr="00D06868">
              <w:rPr>
                <w:rStyle w:val="normaltextrun"/>
                <w:rFonts w:ascii="Arial" w:eastAsia="PMingLiU" w:hAnsi="Arial" w:cs="Arial"/>
                <w:sz w:val="16"/>
                <w:szCs w:val="18"/>
                <w:lang w:eastAsia="zh-TW"/>
              </w:rPr>
              <w:t xml:space="preserve">x = 1 or 2 </w:t>
            </w:r>
          </w:p>
        </w:tc>
        <w:tc>
          <w:tcPr>
            <w:tcW w:w="932" w:type="dxa"/>
            <w:shd w:val="clear" w:color="auto" w:fill="auto"/>
          </w:tcPr>
          <w:p w14:paraId="1B1C556E" w14:textId="77777777" w:rsidR="008016EF" w:rsidRPr="00D06868" w:rsidRDefault="008016EF"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2906111D" w14:textId="77777777" w:rsidR="008016EF" w:rsidRPr="00D06868" w:rsidRDefault="008016EF"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68CB4931" w14:textId="77777777" w:rsidR="008016EF" w:rsidRPr="00D06868" w:rsidRDefault="008016EF"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Network should not configure 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w:t>
            </w:r>
          </w:p>
        </w:tc>
        <w:tc>
          <w:tcPr>
            <w:tcW w:w="0" w:type="auto"/>
            <w:shd w:val="clear" w:color="auto" w:fill="auto"/>
          </w:tcPr>
          <w:p w14:paraId="59C3DDD3" w14:textId="77777777" w:rsidR="008016EF" w:rsidRPr="00D06868" w:rsidRDefault="008016EF" w:rsidP="00391E88">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4A21DF9D" w14:textId="77777777" w:rsidR="008016EF" w:rsidRPr="00D06868" w:rsidRDefault="008016E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108C5C76" w14:textId="77777777" w:rsidR="008016EF" w:rsidRPr="00D06868" w:rsidRDefault="008016E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73C3C6D9" w14:textId="77777777" w:rsidR="008016EF" w:rsidRPr="00D06868" w:rsidRDefault="008016EF" w:rsidP="00391E88">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38B06493" w14:textId="77777777" w:rsidR="008016EF" w:rsidRPr="00D06868" w:rsidRDefault="008016EF" w:rsidP="00391E88">
            <w:pPr>
              <w:keepNext/>
              <w:keepLines/>
              <w:rPr>
                <w:rFonts w:ascii="Arial" w:hAnsi="Arial" w:cs="Arial"/>
                <w:sz w:val="16"/>
                <w:szCs w:val="18"/>
              </w:rPr>
            </w:pPr>
          </w:p>
        </w:tc>
        <w:tc>
          <w:tcPr>
            <w:tcW w:w="0" w:type="auto"/>
            <w:shd w:val="clear" w:color="auto" w:fill="auto"/>
          </w:tcPr>
          <w:p w14:paraId="620F2B0D" w14:textId="77777777" w:rsidR="008016EF" w:rsidRPr="00D06868" w:rsidRDefault="008016EF" w:rsidP="00391E88">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8016EF" w:rsidRPr="00D06868" w14:paraId="1C5A991E" w14:textId="77777777" w:rsidTr="008016EF">
        <w:trPr>
          <w:trHeight w:val="391"/>
        </w:trPr>
        <w:tc>
          <w:tcPr>
            <w:tcW w:w="599" w:type="dxa"/>
            <w:shd w:val="clear" w:color="auto" w:fill="auto"/>
          </w:tcPr>
          <w:p w14:paraId="67EDDF6C" w14:textId="77777777" w:rsidR="008016EF" w:rsidRPr="00D06868" w:rsidRDefault="008016EF"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2-2]</w:t>
            </w:r>
          </w:p>
        </w:tc>
        <w:tc>
          <w:tcPr>
            <w:tcW w:w="1658" w:type="dxa"/>
            <w:shd w:val="clear" w:color="auto" w:fill="auto"/>
          </w:tcPr>
          <w:p w14:paraId="2BA11A50" w14:textId="77777777" w:rsidR="008016EF" w:rsidRPr="00D06868" w:rsidRDefault="008016EF"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2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configuration with simultaneous activation/deactivation</w:t>
            </w:r>
          </w:p>
        </w:tc>
        <w:tc>
          <w:tcPr>
            <w:tcW w:w="1658" w:type="dxa"/>
            <w:shd w:val="clear" w:color="auto" w:fill="auto"/>
          </w:tcPr>
          <w:p w14:paraId="5E7B2E00" w14:textId="77777777" w:rsidR="008016EF" w:rsidRPr="00D06868" w:rsidRDefault="008016EF" w:rsidP="00391E88">
            <w:pPr>
              <w:rPr>
                <w:rFonts w:ascii="Arial" w:eastAsia="PMingLiU" w:hAnsi="Arial" w:cs="Arial"/>
                <w:sz w:val="16"/>
                <w:szCs w:val="18"/>
                <w:lang w:eastAsia="zh-TW"/>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 xml:space="preserve">upport configurations of 2 Pre-MG with simultaneous activation/deactivation in the same FR. </w:t>
            </w:r>
          </w:p>
        </w:tc>
        <w:tc>
          <w:tcPr>
            <w:tcW w:w="1062" w:type="dxa"/>
            <w:shd w:val="clear" w:color="auto" w:fill="auto"/>
          </w:tcPr>
          <w:p w14:paraId="36A0A605" w14:textId="77777777" w:rsidR="008016EF" w:rsidRPr="00D06868" w:rsidRDefault="008016EF"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2-1</w:t>
            </w:r>
          </w:p>
        </w:tc>
        <w:tc>
          <w:tcPr>
            <w:tcW w:w="932" w:type="dxa"/>
            <w:shd w:val="clear" w:color="auto" w:fill="auto"/>
          </w:tcPr>
          <w:p w14:paraId="4C0DD67F" w14:textId="77777777" w:rsidR="008016EF" w:rsidRPr="00D06868" w:rsidRDefault="008016EF" w:rsidP="00391E88">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49EAA752" w14:textId="77777777" w:rsidR="008016EF" w:rsidRPr="00D06868" w:rsidRDefault="008016E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4A21BED1" w14:textId="77777777" w:rsidR="008016EF" w:rsidRPr="00D06868" w:rsidRDefault="008016EF" w:rsidP="00391E88">
            <w:pPr>
              <w:keepNext/>
              <w:keepLines/>
              <w:rPr>
                <w:rFonts w:ascii="Arial" w:hAnsi="Arial" w:cs="Arial"/>
                <w:sz w:val="16"/>
                <w:szCs w:val="18"/>
              </w:rPr>
            </w:pPr>
            <w:r w:rsidRPr="00D06868">
              <w:rPr>
                <w:rFonts w:ascii="Arial" w:eastAsia="PMingLiU" w:hAnsi="Arial" w:cs="Arial"/>
                <w:sz w:val="16"/>
                <w:szCs w:val="18"/>
                <w:lang w:eastAsia="zh-TW"/>
              </w:rPr>
              <w:t>Unknown activation time for simultaneous Pre-MG is expected</w:t>
            </w:r>
          </w:p>
        </w:tc>
        <w:tc>
          <w:tcPr>
            <w:tcW w:w="0" w:type="auto"/>
            <w:shd w:val="clear" w:color="auto" w:fill="auto"/>
          </w:tcPr>
          <w:p w14:paraId="0BA24374" w14:textId="77777777" w:rsidR="008016EF" w:rsidRPr="00D06868" w:rsidRDefault="008016EF" w:rsidP="00391E88">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6B025F5A" w14:textId="77777777" w:rsidR="008016EF" w:rsidRPr="00D06868" w:rsidRDefault="008016E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5510F1F6" w14:textId="77777777" w:rsidR="008016EF" w:rsidRPr="00D06868" w:rsidRDefault="008016EF"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061F445C" w14:textId="77777777" w:rsidR="008016EF" w:rsidRPr="00D06868" w:rsidRDefault="008016EF" w:rsidP="00391E88">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788E36AA" w14:textId="77777777" w:rsidR="008016EF" w:rsidRPr="00D06868" w:rsidRDefault="008016EF" w:rsidP="00391E88">
            <w:pPr>
              <w:keepNext/>
              <w:keepLines/>
              <w:rPr>
                <w:rFonts w:ascii="Arial" w:hAnsi="Arial" w:cs="Arial"/>
                <w:sz w:val="16"/>
                <w:szCs w:val="18"/>
              </w:rPr>
            </w:pPr>
          </w:p>
        </w:tc>
        <w:tc>
          <w:tcPr>
            <w:tcW w:w="0" w:type="auto"/>
            <w:shd w:val="clear" w:color="auto" w:fill="auto"/>
          </w:tcPr>
          <w:p w14:paraId="02D40F46" w14:textId="77777777" w:rsidR="008016EF" w:rsidRPr="00D06868" w:rsidRDefault="008016EF" w:rsidP="00391E88">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bl>
    <w:p w14:paraId="6A9F4054" w14:textId="77777777" w:rsidR="00F94612" w:rsidRPr="00EB57AF" w:rsidRDefault="00F94612" w:rsidP="00ED4AF6">
      <w:pPr>
        <w:rPr>
          <w:rFonts w:eastAsiaTheme="minorEastAsia" w:cs="v4.2.0"/>
          <w:sz w:val="22"/>
          <w:szCs w:val="22"/>
          <w:highlight w:val="lightGray"/>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lastRenderedPageBreak/>
        <w:t>Conclusion</w:t>
      </w:r>
    </w:p>
    <w:p w14:paraId="5C9A9129" w14:textId="7B0F739E"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9D5C27" w:rsidRPr="009D5C27">
        <w:rPr>
          <w:rFonts w:eastAsiaTheme="minorEastAsia"/>
          <w:sz w:val="22"/>
          <w:szCs w:val="22"/>
        </w:rPr>
        <w:t>RRM performance requirements for pre-configured MGs, multiple concurrent MGs and NCSG</w:t>
      </w:r>
      <w:r w:rsidR="001B1EEE" w:rsidRPr="008917D2">
        <w:rPr>
          <w:rFonts w:eastAsiaTheme="minorEastAsia" w:hint="eastAsia"/>
          <w:sz w:val="22"/>
          <w:szCs w:val="22"/>
        </w:rPr>
        <w:t xml:space="preserve">, with the following </w:t>
      </w:r>
      <w:r w:rsidR="00EE1676">
        <w:rPr>
          <w:rFonts w:eastAsiaTheme="minorEastAsia"/>
          <w:sz w:val="22"/>
          <w:szCs w:val="22"/>
        </w:rPr>
        <w:t>o</w:t>
      </w:r>
      <w:r w:rsidR="00EE1676" w:rsidRPr="00EE1676">
        <w:rPr>
          <w:rFonts w:eastAsiaTheme="minorEastAsia"/>
          <w:sz w:val="22"/>
          <w:szCs w:val="22"/>
        </w:rPr>
        <w:t>bservation</w:t>
      </w:r>
      <w:r w:rsidR="00EE1676">
        <w:rPr>
          <w:rFonts w:eastAsiaTheme="minorEastAsia"/>
          <w:sz w:val="22"/>
          <w:szCs w:val="22"/>
        </w:rPr>
        <w:t>s and</w:t>
      </w:r>
      <w:r w:rsidR="00EE1676" w:rsidRPr="00EE1676">
        <w:rPr>
          <w:rFonts w:eastAsiaTheme="minorEastAsia" w:hint="eastAsia"/>
          <w:sz w:val="22"/>
          <w:szCs w:val="22"/>
        </w:rPr>
        <w:t xml:space="preserve"> </w:t>
      </w:r>
      <w:r w:rsidR="001B1EEE" w:rsidRPr="008917D2">
        <w:rPr>
          <w:rFonts w:eastAsiaTheme="minorEastAsia" w:hint="eastAsia"/>
          <w:sz w:val="22"/>
          <w:szCs w:val="22"/>
        </w:rPr>
        <w:t>proposals:</w:t>
      </w:r>
    </w:p>
    <w:p w14:paraId="40B0A333" w14:textId="6C745CC5" w:rsidR="009F0465" w:rsidRDefault="009F0465" w:rsidP="00FF4124">
      <w:pPr>
        <w:rPr>
          <w:rFonts w:eastAsiaTheme="minorEastAsia" w:cs="v4.2.0"/>
          <w:b/>
          <w:sz w:val="22"/>
          <w:szCs w:val="22"/>
        </w:rPr>
      </w:pPr>
      <w:r w:rsidRPr="005A036A">
        <w:rPr>
          <w:rFonts w:eastAsiaTheme="minorEastAsia" w:cs="v4.2.0"/>
          <w:b/>
          <w:sz w:val="22"/>
          <w:szCs w:val="22"/>
        </w:rPr>
        <w:t>Observation 1:</w:t>
      </w:r>
      <w:r>
        <w:rPr>
          <w:rFonts w:eastAsiaTheme="minorEastAsia" w:cs="v4.2.0"/>
          <w:b/>
          <w:sz w:val="22"/>
          <w:szCs w:val="22"/>
        </w:rPr>
        <w:t xml:space="preserve"> </w:t>
      </w:r>
      <w:r w:rsidRPr="00533C4C">
        <w:rPr>
          <w:rFonts w:eastAsiaTheme="minorEastAsia" w:cs="v4.2.0"/>
          <w:b/>
          <w:sz w:val="22"/>
          <w:szCs w:val="22"/>
        </w:rPr>
        <w:t xml:space="preserve">For concurrent gap with Pre-MG </w:t>
      </w:r>
      <w:r w:rsidR="00B766E4" w:rsidRPr="00B766E4">
        <w:rPr>
          <w:rFonts w:eastAsiaTheme="minorEastAsia" w:cs="v4.2.0"/>
          <w:b/>
          <w:sz w:val="22"/>
          <w:szCs w:val="22"/>
        </w:rPr>
        <w:t>in a FR</w:t>
      </w:r>
      <w:r w:rsidRPr="00533C4C">
        <w:rPr>
          <w:rFonts w:eastAsiaTheme="minorEastAsia" w:cs="v4.2.0"/>
          <w:b/>
          <w:sz w:val="22"/>
          <w:szCs w:val="22"/>
        </w:rPr>
        <w:t xml:space="preserve">, it was agreed to consider a new capability for concurrent gap with at least one Pre-MG in </w:t>
      </w:r>
      <w:r>
        <w:rPr>
          <w:rFonts w:eastAsiaTheme="minorEastAsia" w:cs="v4.2.0"/>
          <w:b/>
          <w:sz w:val="22"/>
          <w:szCs w:val="22"/>
        </w:rPr>
        <w:t>the same FR in previous meeting</w:t>
      </w:r>
      <w:r w:rsidRPr="00EB57AF">
        <w:rPr>
          <w:rFonts w:eastAsiaTheme="minorEastAsia" w:cs="v4.2.0"/>
          <w:b/>
          <w:sz w:val="22"/>
          <w:szCs w:val="22"/>
        </w:rPr>
        <w:t>.</w:t>
      </w:r>
    </w:p>
    <w:p w14:paraId="5371BE22" w14:textId="77777777" w:rsidR="009F0465" w:rsidRDefault="009F0465" w:rsidP="00FF4124">
      <w:pPr>
        <w:rPr>
          <w:rFonts w:eastAsiaTheme="minorEastAsia" w:cs="v4.2.0"/>
          <w:b/>
          <w:sz w:val="22"/>
          <w:szCs w:val="22"/>
        </w:rPr>
      </w:pPr>
      <w:r w:rsidRPr="005A036A">
        <w:rPr>
          <w:rFonts w:eastAsiaTheme="minorEastAsia" w:cs="v4.2.0"/>
          <w:b/>
          <w:sz w:val="22"/>
          <w:szCs w:val="22"/>
        </w:rPr>
        <w:t>Observ</w:t>
      </w:r>
      <w:r>
        <w:rPr>
          <w:rFonts w:eastAsiaTheme="minorEastAsia" w:cs="v4.2.0"/>
          <w:b/>
          <w:sz w:val="22"/>
          <w:szCs w:val="22"/>
        </w:rPr>
        <w:t>ation 2</w:t>
      </w:r>
      <w:r w:rsidRPr="005A036A">
        <w:rPr>
          <w:rFonts w:eastAsiaTheme="minorEastAsia" w:cs="v4.2.0"/>
          <w:b/>
          <w:sz w:val="22"/>
          <w:szCs w:val="22"/>
        </w:rPr>
        <w:t>:</w:t>
      </w:r>
      <w:r>
        <w:rPr>
          <w:rFonts w:eastAsiaTheme="minorEastAsia" w:cs="v4.2.0"/>
          <w:b/>
          <w:sz w:val="22"/>
          <w:szCs w:val="22"/>
        </w:rPr>
        <w:t xml:space="preserve"> </w:t>
      </w:r>
      <w:r w:rsidRPr="00533C4C">
        <w:rPr>
          <w:rFonts w:eastAsiaTheme="minorEastAsia" w:cs="v4.2.0"/>
          <w:b/>
          <w:sz w:val="22"/>
          <w:szCs w:val="22"/>
        </w:rPr>
        <w:t>For two Pre-MGs configuration with simultaneous activation/deactivation, it was agreed that it is up to UE capability to support the simultaneous activation/deactivation of two Pre-MGs in the same FR in previous meeting</w:t>
      </w:r>
      <w:r w:rsidRPr="00EB57AF">
        <w:rPr>
          <w:rFonts w:eastAsiaTheme="minorEastAsia" w:cs="v4.2.0"/>
          <w:b/>
          <w:sz w:val="22"/>
          <w:szCs w:val="22"/>
        </w:rPr>
        <w:t>.</w:t>
      </w:r>
    </w:p>
    <w:p w14:paraId="4D97F9B0" w14:textId="77777777" w:rsidR="009F0465" w:rsidRDefault="009F0465" w:rsidP="00FF4124">
      <w:pPr>
        <w:rPr>
          <w:rFonts w:eastAsiaTheme="minorEastAsia" w:cs="v4.2.0"/>
          <w:b/>
          <w:sz w:val="22"/>
          <w:szCs w:val="22"/>
        </w:rPr>
      </w:pPr>
      <w:r w:rsidRPr="005A036A">
        <w:rPr>
          <w:rFonts w:eastAsiaTheme="minorEastAsia" w:cs="v4.2.0"/>
          <w:b/>
          <w:sz w:val="22"/>
          <w:szCs w:val="22"/>
        </w:rPr>
        <w:t>Observ</w:t>
      </w:r>
      <w:r>
        <w:rPr>
          <w:rFonts w:eastAsiaTheme="minorEastAsia" w:cs="v4.2.0"/>
          <w:b/>
          <w:sz w:val="22"/>
          <w:szCs w:val="22"/>
        </w:rPr>
        <w:t>ation 3</w:t>
      </w:r>
      <w:r w:rsidRPr="005A036A">
        <w:rPr>
          <w:rFonts w:eastAsiaTheme="minorEastAsia" w:cs="v4.2.0"/>
          <w:b/>
          <w:sz w:val="22"/>
          <w:szCs w:val="22"/>
        </w:rPr>
        <w:t>:</w:t>
      </w:r>
      <w:r>
        <w:rPr>
          <w:rFonts w:eastAsiaTheme="minorEastAsia" w:cs="v4.2.0"/>
          <w:b/>
          <w:sz w:val="22"/>
          <w:szCs w:val="22"/>
        </w:rPr>
        <w:t xml:space="preserve"> </w:t>
      </w:r>
      <w:r w:rsidRPr="00CB13EE">
        <w:rPr>
          <w:rFonts w:eastAsiaTheme="minorEastAsia" w:cs="v4.2.0"/>
          <w:b/>
          <w:sz w:val="22"/>
          <w:szCs w:val="22"/>
        </w:rPr>
        <w:t>For dynamic collision, if UE supports the capability of Pre-MG and concurrent MG, the ability for dynamic collision can be supported by default. Therefore, additional UE capability for dynamic collisions is not needed.</w:t>
      </w:r>
    </w:p>
    <w:p w14:paraId="5A52BEE3" w14:textId="77777777" w:rsidR="009F0465" w:rsidRDefault="009F0465" w:rsidP="009F0465">
      <w:pPr>
        <w:rPr>
          <w:rFonts w:eastAsiaTheme="minorEastAsia" w:cs="v4.2.0"/>
          <w:b/>
          <w:sz w:val="22"/>
          <w:szCs w:val="22"/>
        </w:rPr>
      </w:pPr>
      <w:r w:rsidRPr="005A036A">
        <w:rPr>
          <w:rFonts w:eastAsiaTheme="minorEastAsia" w:cs="v4.2.0"/>
          <w:b/>
          <w:sz w:val="22"/>
          <w:szCs w:val="22"/>
        </w:rPr>
        <w:t xml:space="preserve">Proposal 1: </w:t>
      </w:r>
      <w:r w:rsidRPr="00B504FF">
        <w:rPr>
          <w:rFonts w:eastAsiaTheme="minorEastAsia" w:cs="v4.2.0"/>
          <w:b/>
          <w:sz w:val="22"/>
          <w:szCs w:val="22"/>
        </w:rPr>
        <w:t>Feature list for</w:t>
      </w:r>
      <w:r>
        <w:rPr>
          <w:rFonts w:eastAsiaTheme="minorEastAsia" w:cs="v4.2.0"/>
          <w:b/>
          <w:sz w:val="22"/>
          <w:szCs w:val="22"/>
        </w:rPr>
        <w:t xml:space="preserve"> </w:t>
      </w:r>
      <w:r w:rsidRPr="00F94612">
        <w:rPr>
          <w:rFonts w:eastAsiaTheme="minorEastAsia" w:cs="v4.2.0"/>
          <w:b/>
          <w:sz w:val="22"/>
          <w:szCs w:val="22"/>
        </w:rPr>
        <w:t>Case 1 Pre-MG and concurrent MG</w:t>
      </w:r>
      <w:r>
        <w:rPr>
          <w:rFonts w:eastAsiaTheme="minorEastAsia" w:cs="v4.2.0"/>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658"/>
        <w:gridCol w:w="1658"/>
        <w:gridCol w:w="1062"/>
        <w:gridCol w:w="932"/>
        <w:gridCol w:w="957"/>
        <w:gridCol w:w="1177"/>
        <w:gridCol w:w="558"/>
        <w:gridCol w:w="1192"/>
        <w:gridCol w:w="1192"/>
        <w:gridCol w:w="1160"/>
        <w:gridCol w:w="542"/>
        <w:gridCol w:w="1591"/>
      </w:tblGrid>
      <w:tr w:rsidR="00EE1676" w:rsidRPr="00D06868" w14:paraId="7B28EC5D" w14:textId="77777777" w:rsidTr="00391E88">
        <w:trPr>
          <w:trHeight w:val="20"/>
        </w:trPr>
        <w:tc>
          <w:tcPr>
            <w:tcW w:w="599" w:type="dxa"/>
            <w:shd w:val="clear" w:color="auto" w:fill="auto"/>
          </w:tcPr>
          <w:p w14:paraId="09A55079"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Index</w:t>
            </w:r>
          </w:p>
        </w:tc>
        <w:tc>
          <w:tcPr>
            <w:tcW w:w="1658" w:type="dxa"/>
            <w:shd w:val="clear" w:color="auto" w:fill="auto"/>
          </w:tcPr>
          <w:p w14:paraId="260CD567"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Feature group</w:t>
            </w:r>
          </w:p>
        </w:tc>
        <w:tc>
          <w:tcPr>
            <w:tcW w:w="1658" w:type="dxa"/>
            <w:shd w:val="clear" w:color="auto" w:fill="auto"/>
          </w:tcPr>
          <w:p w14:paraId="55638C2C"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Components</w:t>
            </w:r>
          </w:p>
          <w:p w14:paraId="67055B92"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p>
        </w:tc>
        <w:tc>
          <w:tcPr>
            <w:tcW w:w="1062" w:type="dxa"/>
            <w:shd w:val="clear" w:color="auto" w:fill="auto"/>
          </w:tcPr>
          <w:p w14:paraId="5396E1A1"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Prerequisite feature groups</w:t>
            </w:r>
          </w:p>
        </w:tc>
        <w:tc>
          <w:tcPr>
            <w:tcW w:w="932" w:type="dxa"/>
            <w:shd w:val="clear" w:color="auto" w:fill="auto"/>
          </w:tcPr>
          <w:p w14:paraId="5E5AC56A"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for the gNB to know if the feature is supported</w:t>
            </w:r>
          </w:p>
        </w:tc>
        <w:tc>
          <w:tcPr>
            <w:tcW w:w="0" w:type="auto"/>
            <w:shd w:val="clear" w:color="auto" w:fill="auto"/>
          </w:tcPr>
          <w:p w14:paraId="5B544ADF"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eastAsia="Gulim" w:hAnsi="Arial" w:cs="Arial"/>
                <w:b/>
                <w:color w:val="000000"/>
                <w:sz w:val="16"/>
                <w:szCs w:val="18"/>
              </w:rPr>
              <w:t xml:space="preserve">Applicable to </w:t>
            </w:r>
            <w:r w:rsidRPr="00D06868">
              <w:rPr>
                <w:rFonts w:ascii="Arial" w:hAnsi="Arial" w:cs="Arial"/>
                <w:b/>
                <w:color w:val="000000"/>
                <w:sz w:val="16"/>
                <w:szCs w:val="18"/>
              </w:rPr>
              <w:t>the capability signalling exchange between UEs (V2X WI only)”.</w:t>
            </w:r>
          </w:p>
        </w:tc>
        <w:tc>
          <w:tcPr>
            <w:tcW w:w="0" w:type="auto"/>
          </w:tcPr>
          <w:p w14:paraId="4BC94545" w14:textId="77777777" w:rsidR="00EE1676" w:rsidRPr="00D06868" w:rsidRDefault="00EE1676" w:rsidP="00391E88">
            <w:pPr>
              <w:keepNext/>
              <w:keepLines/>
              <w:rPr>
                <w:rFonts w:ascii="Arial" w:hAnsi="Arial" w:cs="Arial"/>
                <w:b/>
                <w:color w:val="000000"/>
                <w:sz w:val="16"/>
                <w:szCs w:val="18"/>
              </w:rPr>
            </w:pPr>
            <w:r w:rsidRPr="00D06868">
              <w:rPr>
                <w:rFonts w:ascii="Arial" w:hAnsi="Arial" w:cs="Arial"/>
                <w:b/>
                <w:color w:val="000000"/>
                <w:sz w:val="16"/>
                <w:szCs w:val="18"/>
              </w:rPr>
              <w:t>Consequence if the feature is not supported by the UE</w:t>
            </w:r>
          </w:p>
        </w:tc>
        <w:tc>
          <w:tcPr>
            <w:tcW w:w="0" w:type="auto"/>
            <w:shd w:val="clear" w:color="auto" w:fill="auto"/>
          </w:tcPr>
          <w:p w14:paraId="0373565D" w14:textId="77777777" w:rsidR="00EE1676" w:rsidRPr="00D06868" w:rsidRDefault="00EE1676" w:rsidP="00391E88">
            <w:pPr>
              <w:keepNext/>
              <w:keepLines/>
              <w:rPr>
                <w:rFonts w:ascii="Arial" w:hAnsi="Arial" w:cs="Arial"/>
                <w:b/>
                <w:color w:val="000000"/>
                <w:sz w:val="16"/>
                <w:szCs w:val="18"/>
              </w:rPr>
            </w:pPr>
            <w:r w:rsidRPr="00D06868">
              <w:rPr>
                <w:rFonts w:ascii="Arial" w:hAnsi="Arial" w:cs="Arial"/>
                <w:b/>
                <w:color w:val="000000"/>
                <w:sz w:val="16"/>
                <w:szCs w:val="18"/>
              </w:rPr>
              <w:t>Type</w:t>
            </w:r>
          </w:p>
        </w:tc>
        <w:tc>
          <w:tcPr>
            <w:tcW w:w="0" w:type="auto"/>
            <w:shd w:val="clear" w:color="auto" w:fill="auto"/>
          </w:tcPr>
          <w:p w14:paraId="7AC4EFA5"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FDD/TDD differentiation</w:t>
            </w:r>
          </w:p>
        </w:tc>
        <w:tc>
          <w:tcPr>
            <w:tcW w:w="0" w:type="auto"/>
            <w:shd w:val="clear" w:color="auto" w:fill="auto"/>
          </w:tcPr>
          <w:p w14:paraId="702A802E"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Need of FR1/FR2 differentiation</w:t>
            </w:r>
          </w:p>
        </w:tc>
        <w:tc>
          <w:tcPr>
            <w:tcW w:w="0" w:type="auto"/>
          </w:tcPr>
          <w:p w14:paraId="29844CA3"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Capability interpretation for mixture of FDD/TDD and/or FR1/FR2</w:t>
            </w:r>
          </w:p>
        </w:tc>
        <w:tc>
          <w:tcPr>
            <w:tcW w:w="0" w:type="auto"/>
            <w:shd w:val="clear" w:color="auto" w:fill="auto"/>
          </w:tcPr>
          <w:p w14:paraId="537CE0A8"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Note</w:t>
            </w:r>
          </w:p>
        </w:tc>
        <w:tc>
          <w:tcPr>
            <w:tcW w:w="0" w:type="auto"/>
            <w:shd w:val="clear" w:color="auto" w:fill="auto"/>
          </w:tcPr>
          <w:p w14:paraId="78C365E5" w14:textId="77777777" w:rsidR="00EE1676" w:rsidRPr="00D06868" w:rsidRDefault="00EE1676" w:rsidP="00391E88">
            <w:pPr>
              <w:keepNext/>
              <w:keepLines/>
              <w:overflowPunct w:val="0"/>
              <w:autoSpaceDE w:val="0"/>
              <w:autoSpaceDN w:val="0"/>
              <w:adjustRightInd w:val="0"/>
              <w:jc w:val="center"/>
              <w:textAlignment w:val="baseline"/>
              <w:rPr>
                <w:rFonts w:ascii="Arial" w:hAnsi="Arial" w:cs="Arial"/>
                <w:b/>
                <w:color w:val="000000"/>
                <w:sz w:val="16"/>
                <w:szCs w:val="18"/>
              </w:rPr>
            </w:pPr>
            <w:r w:rsidRPr="00D06868">
              <w:rPr>
                <w:rFonts w:ascii="Arial" w:hAnsi="Arial" w:cs="Arial"/>
                <w:b/>
                <w:color w:val="000000"/>
                <w:sz w:val="16"/>
                <w:szCs w:val="18"/>
              </w:rPr>
              <w:t>Mandatory/Optional</w:t>
            </w:r>
          </w:p>
        </w:tc>
      </w:tr>
      <w:tr w:rsidR="00EE1676" w:rsidRPr="00D06868" w14:paraId="5E250434" w14:textId="77777777" w:rsidTr="00391E88">
        <w:trPr>
          <w:trHeight w:val="609"/>
        </w:trPr>
        <w:tc>
          <w:tcPr>
            <w:tcW w:w="599" w:type="dxa"/>
            <w:shd w:val="clear" w:color="auto" w:fill="auto"/>
          </w:tcPr>
          <w:p w14:paraId="6C009475" w14:textId="77777777" w:rsidR="00EE1676" w:rsidRPr="00D06868" w:rsidRDefault="00EE1676" w:rsidP="00391E88">
            <w:pPr>
              <w:keepNext/>
              <w:keepLines/>
              <w:rPr>
                <w:rFonts w:ascii="Arial" w:eastAsiaTheme="minorEastAsia" w:hAnsi="Arial" w:cs="Arial"/>
                <w:sz w:val="16"/>
                <w:szCs w:val="18"/>
              </w:rPr>
            </w:pPr>
            <w:r w:rsidRPr="00D06868">
              <w:rPr>
                <w:rFonts w:ascii="Arial" w:eastAsiaTheme="minorEastAsia" w:hAnsi="Arial" w:cs="Arial"/>
                <w:sz w:val="16"/>
                <w:szCs w:val="18"/>
              </w:rPr>
              <w:t>[32-1]</w:t>
            </w:r>
          </w:p>
        </w:tc>
        <w:tc>
          <w:tcPr>
            <w:tcW w:w="1658" w:type="dxa"/>
            <w:shd w:val="clear" w:color="auto" w:fill="auto"/>
          </w:tcPr>
          <w:p w14:paraId="6D4C4343" w14:textId="77777777" w:rsidR="00EE1676" w:rsidRPr="00D06868" w:rsidRDefault="00EE1676"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in a FR</w:t>
            </w:r>
          </w:p>
        </w:tc>
        <w:tc>
          <w:tcPr>
            <w:tcW w:w="1658" w:type="dxa"/>
            <w:shd w:val="clear" w:color="auto" w:fill="auto"/>
          </w:tcPr>
          <w:p w14:paraId="21BD5DCC" w14:textId="77777777" w:rsidR="00EE1676" w:rsidRPr="00D06868" w:rsidRDefault="00EE1676" w:rsidP="00391E88">
            <w:pPr>
              <w:pStyle w:val="paragraph"/>
              <w:spacing w:before="0" w:beforeAutospacing="0" w:after="0" w:afterAutospacing="0"/>
              <w:textAlignment w:val="baseline"/>
              <w:rPr>
                <w:rFonts w:ascii="Segoe UI" w:hAnsi="Segoe UI" w:cs="Segoe UI"/>
                <w:sz w:val="16"/>
                <w:szCs w:val="18"/>
              </w:rPr>
            </w:pPr>
            <w:r w:rsidRPr="00D06868">
              <w:rPr>
                <w:rStyle w:val="normaltextrun"/>
                <w:rFonts w:ascii="Arial" w:hAnsi="Arial" w:cs="Arial"/>
                <w:sz w:val="16"/>
                <w:szCs w:val="18"/>
              </w:rPr>
              <w:t xml:space="preserve">Support of multiple per-UE (or per-FR) measurement gap patterns with at least one per-UE (or per-FR) Pre-MG. Detail in </w:t>
            </w:r>
            <w:r w:rsidRPr="00D06868">
              <w:rPr>
                <w:rStyle w:val="normaltextrun"/>
                <w:rFonts w:ascii="Arial" w:hAnsi="Arial" w:cs="Arial" w:hint="eastAsia"/>
                <w:sz w:val="16"/>
                <w:szCs w:val="18"/>
              </w:rPr>
              <w:t>C</w:t>
            </w:r>
            <w:r w:rsidRPr="00D06868">
              <w:rPr>
                <w:rStyle w:val="normaltextrun"/>
                <w:rFonts w:ascii="Arial" w:hAnsi="Arial" w:cs="Arial"/>
                <w:sz w:val="16"/>
                <w:szCs w:val="18"/>
              </w:rPr>
              <w:t xml:space="preserve">lause </w:t>
            </w:r>
            <w:r w:rsidRPr="00D06868">
              <w:rPr>
                <w:rStyle w:val="normaltextrun"/>
                <w:rFonts w:ascii="Arial" w:hAnsi="Arial" w:cs="Arial" w:hint="eastAsia"/>
                <w:sz w:val="16"/>
                <w:szCs w:val="18"/>
              </w:rPr>
              <w:t>[</w:t>
            </w:r>
            <w:r w:rsidRPr="00D06868">
              <w:rPr>
                <w:rStyle w:val="normaltextrun"/>
                <w:rFonts w:ascii="Arial" w:hAnsi="Arial" w:cs="Arial"/>
                <w:sz w:val="16"/>
                <w:szCs w:val="18"/>
              </w:rPr>
              <w:t>9.1.x.2</w:t>
            </w:r>
            <w:r w:rsidRPr="00D06868">
              <w:rPr>
                <w:rStyle w:val="normaltextrun"/>
                <w:rFonts w:ascii="Arial" w:hAnsi="Arial" w:cs="Arial" w:hint="eastAsia"/>
                <w:sz w:val="16"/>
                <w:szCs w:val="18"/>
              </w:rPr>
              <w:t>]</w:t>
            </w:r>
            <w:r w:rsidRPr="00D06868">
              <w:rPr>
                <w:rStyle w:val="normaltextrun"/>
                <w:rFonts w:ascii="Arial" w:hAnsi="Arial" w:cs="Arial"/>
                <w:sz w:val="16"/>
                <w:szCs w:val="18"/>
              </w:rPr>
              <w:t xml:space="preserve"> of TS 38.133.</w:t>
            </w:r>
            <w:r w:rsidRPr="00D06868">
              <w:rPr>
                <w:rStyle w:val="eop"/>
                <w:rFonts w:ascii="Arial" w:hAnsi="Arial" w:cs="Arial"/>
                <w:sz w:val="16"/>
                <w:szCs w:val="18"/>
              </w:rPr>
              <w:t> </w:t>
            </w:r>
          </w:p>
          <w:p w14:paraId="78C429B5" w14:textId="77777777" w:rsidR="00EE1676" w:rsidRPr="00D06868" w:rsidRDefault="00EE1676" w:rsidP="00391E88">
            <w:pPr>
              <w:rPr>
                <w:rFonts w:ascii="Arial" w:eastAsiaTheme="minorEastAsia" w:hAnsi="Arial" w:cs="Arial"/>
                <w:sz w:val="16"/>
                <w:szCs w:val="18"/>
              </w:rPr>
            </w:pPr>
          </w:p>
        </w:tc>
        <w:tc>
          <w:tcPr>
            <w:tcW w:w="1062" w:type="dxa"/>
            <w:shd w:val="clear" w:color="auto" w:fill="auto"/>
          </w:tcPr>
          <w:p w14:paraId="1880F35A" w14:textId="77777777" w:rsidR="00EE1676" w:rsidRPr="00D06868" w:rsidRDefault="00EE1676" w:rsidP="00391E88">
            <w:pPr>
              <w:keepNext/>
              <w:keepLines/>
              <w:rPr>
                <w:rStyle w:val="normaltextrun"/>
                <w:rFonts w:ascii="Arial" w:hAnsi="Arial" w:cs="Arial"/>
                <w:color w:val="000000"/>
                <w:sz w:val="16"/>
                <w:szCs w:val="18"/>
                <w:shd w:val="clear" w:color="auto" w:fill="FFFFFF"/>
              </w:rPr>
            </w:pPr>
            <w:r w:rsidRPr="00D06868">
              <w:rPr>
                <w:rStyle w:val="normaltextrun"/>
                <w:rFonts w:ascii="Arial" w:hAnsi="Arial" w:cs="Arial"/>
                <w:color w:val="000000"/>
                <w:sz w:val="16"/>
                <w:szCs w:val="18"/>
                <w:shd w:val="clear" w:color="auto" w:fill="FFFFFF"/>
              </w:rPr>
              <w:t>19-3-x</w:t>
            </w:r>
            <w:r w:rsidRPr="00D06868">
              <w:rPr>
                <w:rStyle w:val="eop"/>
                <w:rFonts w:ascii="Arial" w:hAnsi="Arial" w:cs="Arial"/>
                <w:color w:val="000000"/>
                <w:sz w:val="16"/>
                <w:szCs w:val="18"/>
                <w:shd w:val="clear" w:color="auto" w:fill="FFFFFF"/>
              </w:rPr>
              <w:t xml:space="preserve"> and </w:t>
            </w:r>
            <w:r w:rsidRPr="00D06868">
              <w:rPr>
                <w:rStyle w:val="normaltextrun"/>
                <w:rFonts w:ascii="Arial" w:hAnsi="Arial" w:cs="Arial"/>
                <w:color w:val="000000"/>
                <w:sz w:val="16"/>
                <w:szCs w:val="18"/>
                <w:shd w:val="clear" w:color="auto" w:fill="FFFFFF"/>
              </w:rPr>
              <w:t>19-2</w:t>
            </w:r>
          </w:p>
          <w:p w14:paraId="26047B12" w14:textId="77777777" w:rsidR="00EE1676" w:rsidRPr="00D06868" w:rsidRDefault="00EE1676" w:rsidP="00391E88">
            <w:pPr>
              <w:keepNext/>
              <w:keepLines/>
              <w:rPr>
                <w:rFonts w:ascii="Arial" w:eastAsia="PMingLiU" w:hAnsi="Arial" w:cs="Arial"/>
                <w:sz w:val="16"/>
                <w:szCs w:val="18"/>
                <w:lang w:eastAsia="zh-TW"/>
              </w:rPr>
            </w:pPr>
            <w:r w:rsidRPr="00D06868">
              <w:rPr>
                <w:rStyle w:val="normaltextrun"/>
                <w:rFonts w:ascii="Arial" w:eastAsia="PMingLiU" w:hAnsi="Arial" w:cs="Arial"/>
                <w:sz w:val="16"/>
                <w:szCs w:val="18"/>
                <w:lang w:eastAsia="zh-TW"/>
              </w:rPr>
              <w:t xml:space="preserve">x = 1 or 2 </w:t>
            </w:r>
          </w:p>
        </w:tc>
        <w:tc>
          <w:tcPr>
            <w:tcW w:w="932" w:type="dxa"/>
            <w:shd w:val="clear" w:color="auto" w:fill="auto"/>
          </w:tcPr>
          <w:p w14:paraId="14F21DEF" w14:textId="77777777" w:rsidR="00EE1676" w:rsidRPr="00D06868" w:rsidRDefault="00EE1676"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27731CBD" w14:textId="77777777" w:rsidR="00EE1676" w:rsidRPr="00D06868" w:rsidRDefault="00EE1676"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06223A02" w14:textId="77777777" w:rsidR="00EE1676" w:rsidRPr="00D06868" w:rsidRDefault="00EE1676"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Network should not configure concurrent gap with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w:t>
            </w:r>
          </w:p>
        </w:tc>
        <w:tc>
          <w:tcPr>
            <w:tcW w:w="0" w:type="auto"/>
            <w:shd w:val="clear" w:color="auto" w:fill="auto"/>
          </w:tcPr>
          <w:p w14:paraId="6A180CCE" w14:textId="77777777" w:rsidR="00EE1676" w:rsidRPr="00D06868" w:rsidRDefault="00EE1676" w:rsidP="00391E88">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37B02FE0" w14:textId="77777777" w:rsidR="00EE1676" w:rsidRPr="00D06868" w:rsidRDefault="00EE16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7D297392" w14:textId="77777777" w:rsidR="00EE1676" w:rsidRPr="00D06868" w:rsidRDefault="00EE16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3A43A804" w14:textId="77777777" w:rsidR="00EE1676" w:rsidRPr="00D06868" w:rsidRDefault="00EE1676" w:rsidP="00391E88">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50918495" w14:textId="77777777" w:rsidR="00EE1676" w:rsidRPr="00D06868" w:rsidRDefault="00EE1676" w:rsidP="00391E88">
            <w:pPr>
              <w:keepNext/>
              <w:keepLines/>
              <w:rPr>
                <w:rFonts w:ascii="Arial" w:hAnsi="Arial" w:cs="Arial"/>
                <w:sz w:val="16"/>
                <w:szCs w:val="18"/>
              </w:rPr>
            </w:pPr>
          </w:p>
        </w:tc>
        <w:tc>
          <w:tcPr>
            <w:tcW w:w="0" w:type="auto"/>
            <w:shd w:val="clear" w:color="auto" w:fill="auto"/>
          </w:tcPr>
          <w:p w14:paraId="79982DE1" w14:textId="77777777" w:rsidR="00EE1676" w:rsidRPr="00D06868" w:rsidRDefault="00EE1676" w:rsidP="00391E88">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r w:rsidR="00EE1676" w:rsidRPr="00D06868" w14:paraId="22DF04AF" w14:textId="77777777" w:rsidTr="00391E88">
        <w:trPr>
          <w:trHeight w:val="391"/>
        </w:trPr>
        <w:tc>
          <w:tcPr>
            <w:tcW w:w="599" w:type="dxa"/>
            <w:shd w:val="clear" w:color="auto" w:fill="auto"/>
          </w:tcPr>
          <w:p w14:paraId="4D1F1548" w14:textId="77777777" w:rsidR="00EE1676" w:rsidRPr="00D06868" w:rsidRDefault="00EE1676"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w:t>
            </w: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2-2]</w:t>
            </w:r>
          </w:p>
        </w:tc>
        <w:tc>
          <w:tcPr>
            <w:tcW w:w="1658" w:type="dxa"/>
            <w:shd w:val="clear" w:color="auto" w:fill="auto"/>
          </w:tcPr>
          <w:p w14:paraId="3C80558E" w14:textId="77777777" w:rsidR="00EE1676" w:rsidRPr="00D06868" w:rsidRDefault="00EE1676" w:rsidP="00391E88">
            <w:pPr>
              <w:keepNext/>
              <w:keepLines/>
              <w:rPr>
                <w:rFonts w:ascii="Arial" w:eastAsia="PMingLiU" w:hAnsi="Arial" w:cs="Arial"/>
                <w:sz w:val="16"/>
                <w:szCs w:val="18"/>
                <w:lang w:eastAsia="zh-TW"/>
              </w:rPr>
            </w:pPr>
            <w:r w:rsidRPr="00D06868">
              <w:rPr>
                <w:rFonts w:ascii="Arial" w:eastAsia="PMingLiU" w:hAnsi="Arial" w:cs="Arial"/>
                <w:sz w:val="16"/>
                <w:szCs w:val="18"/>
                <w:lang w:eastAsia="zh-TW"/>
              </w:rPr>
              <w:t xml:space="preserve">2 </w:t>
            </w:r>
            <w:r w:rsidRPr="00D06868">
              <w:rPr>
                <w:rFonts w:ascii="Arial" w:eastAsia="PMingLiU" w:hAnsi="Arial" w:cs="Arial" w:hint="eastAsia"/>
                <w:sz w:val="16"/>
                <w:szCs w:val="18"/>
                <w:lang w:eastAsia="zh-TW"/>
              </w:rPr>
              <w:t>P</w:t>
            </w:r>
            <w:r w:rsidRPr="00D06868">
              <w:rPr>
                <w:rFonts w:ascii="Arial" w:eastAsia="PMingLiU" w:hAnsi="Arial" w:cs="Arial"/>
                <w:sz w:val="16"/>
                <w:szCs w:val="18"/>
                <w:lang w:eastAsia="zh-TW"/>
              </w:rPr>
              <w:t>re-MG configuration with simultaneous activation/deactivation</w:t>
            </w:r>
          </w:p>
        </w:tc>
        <w:tc>
          <w:tcPr>
            <w:tcW w:w="1658" w:type="dxa"/>
            <w:shd w:val="clear" w:color="auto" w:fill="auto"/>
          </w:tcPr>
          <w:p w14:paraId="225EFFBB" w14:textId="77777777" w:rsidR="00EE1676" w:rsidRPr="00D06868" w:rsidRDefault="00EE1676" w:rsidP="00391E88">
            <w:pPr>
              <w:rPr>
                <w:rFonts w:ascii="Arial" w:eastAsia="PMingLiU" w:hAnsi="Arial" w:cs="Arial"/>
                <w:sz w:val="16"/>
                <w:szCs w:val="18"/>
                <w:lang w:eastAsia="zh-TW"/>
              </w:rPr>
            </w:pPr>
            <w:r w:rsidRPr="00D06868">
              <w:rPr>
                <w:rFonts w:ascii="Arial" w:eastAsia="PMingLiU" w:hAnsi="Arial" w:cs="Arial" w:hint="eastAsia"/>
                <w:sz w:val="16"/>
                <w:szCs w:val="18"/>
                <w:lang w:eastAsia="zh-TW"/>
              </w:rPr>
              <w:t>S</w:t>
            </w:r>
            <w:r w:rsidRPr="00D06868">
              <w:rPr>
                <w:rFonts w:ascii="Arial" w:eastAsia="PMingLiU" w:hAnsi="Arial" w:cs="Arial"/>
                <w:sz w:val="16"/>
                <w:szCs w:val="18"/>
                <w:lang w:eastAsia="zh-TW"/>
              </w:rPr>
              <w:t xml:space="preserve">upport configurations of 2 Pre-MG with simultaneous activation/deactivation in the same FR. </w:t>
            </w:r>
          </w:p>
        </w:tc>
        <w:tc>
          <w:tcPr>
            <w:tcW w:w="1062" w:type="dxa"/>
            <w:shd w:val="clear" w:color="auto" w:fill="auto"/>
          </w:tcPr>
          <w:p w14:paraId="318565ED" w14:textId="77777777" w:rsidR="00EE1676" w:rsidRPr="00D06868" w:rsidRDefault="00EE1676" w:rsidP="00391E88">
            <w:pPr>
              <w:keepNext/>
              <w:keepLines/>
              <w:rPr>
                <w:rFonts w:ascii="Arial" w:eastAsia="PMingLiU" w:hAnsi="Arial" w:cs="Arial"/>
                <w:sz w:val="16"/>
                <w:szCs w:val="18"/>
                <w:lang w:eastAsia="zh-TW"/>
              </w:rPr>
            </w:pPr>
            <w:r w:rsidRPr="00D06868">
              <w:rPr>
                <w:rFonts w:ascii="Arial" w:eastAsia="PMingLiU" w:hAnsi="Arial" w:cs="Arial" w:hint="eastAsia"/>
                <w:sz w:val="16"/>
                <w:szCs w:val="18"/>
                <w:lang w:eastAsia="zh-TW"/>
              </w:rPr>
              <w:t>3</w:t>
            </w:r>
            <w:r w:rsidRPr="00D06868">
              <w:rPr>
                <w:rFonts w:ascii="Arial" w:eastAsia="PMingLiU" w:hAnsi="Arial" w:cs="Arial"/>
                <w:sz w:val="16"/>
                <w:szCs w:val="18"/>
                <w:lang w:eastAsia="zh-TW"/>
              </w:rPr>
              <w:t>2-1</w:t>
            </w:r>
          </w:p>
        </w:tc>
        <w:tc>
          <w:tcPr>
            <w:tcW w:w="932" w:type="dxa"/>
            <w:shd w:val="clear" w:color="auto" w:fill="auto"/>
          </w:tcPr>
          <w:p w14:paraId="65A40964" w14:textId="77777777" w:rsidR="00EE1676" w:rsidRPr="00D06868" w:rsidRDefault="00EE1676" w:rsidP="00391E88">
            <w:pPr>
              <w:keepNext/>
              <w:keepLines/>
              <w:rPr>
                <w:rFonts w:ascii="Arial" w:hAnsi="Arial" w:cs="Arial"/>
                <w:sz w:val="16"/>
                <w:szCs w:val="18"/>
              </w:rPr>
            </w:pPr>
            <w:r w:rsidRPr="00D06868">
              <w:rPr>
                <w:rFonts w:ascii="Arial" w:eastAsia="PMingLiU" w:hAnsi="Arial" w:cs="Arial" w:hint="eastAsia"/>
                <w:sz w:val="16"/>
                <w:szCs w:val="18"/>
                <w:lang w:eastAsia="zh-TW"/>
              </w:rPr>
              <w:t>Y</w:t>
            </w:r>
            <w:r w:rsidRPr="00D06868">
              <w:rPr>
                <w:rFonts w:ascii="Arial" w:eastAsia="PMingLiU" w:hAnsi="Arial" w:cs="Arial"/>
                <w:sz w:val="16"/>
                <w:szCs w:val="18"/>
                <w:lang w:eastAsia="zh-TW"/>
              </w:rPr>
              <w:t>es</w:t>
            </w:r>
          </w:p>
        </w:tc>
        <w:tc>
          <w:tcPr>
            <w:tcW w:w="0" w:type="auto"/>
            <w:shd w:val="clear" w:color="auto" w:fill="auto"/>
          </w:tcPr>
          <w:p w14:paraId="6109286E" w14:textId="77777777" w:rsidR="00EE1676" w:rsidRPr="00D06868" w:rsidRDefault="00EE16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3760DB67" w14:textId="77777777" w:rsidR="00EE1676" w:rsidRPr="00D06868" w:rsidRDefault="00EE1676" w:rsidP="00391E88">
            <w:pPr>
              <w:keepNext/>
              <w:keepLines/>
              <w:rPr>
                <w:rFonts w:ascii="Arial" w:hAnsi="Arial" w:cs="Arial"/>
                <w:sz w:val="16"/>
                <w:szCs w:val="18"/>
              </w:rPr>
            </w:pPr>
            <w:r w:rsidRPr="00D06868">
              <w:rPr>
                <w:rFonts w:ascii="Arial" w:eastAsia="PMingLiU" w:hAnsi="Arial" w:cs="Arial"/>
                <w:sz w:val="16"/>
                <w:szCs w:val="18"/>
                <w:lang w:eastAsia="zh-TW"/>
              </w:rPr>
              <w:t>Unknown activation time for simultaneous Pre-MG is expected</w:t>
            </w:r>
          </w:p>
        </w:tc>
        <w:tc>
          <w:tcPr>
            <w:tcW w:w="0" w:type="auto"/>
            <w:shd w:val="clear" w:color="auto" w:fill="auto"/>
          </w:tcPr>
          <w:p w14:paraId="19CDD749" w14:textId="77777777" w:rsidR="00EE1676" w:rsidRPr="00D06868" w:rsidRDefault="00EE1676" w:rsidP="00391E88">
            <w:pPr>
              <w:keepNext/>
              <w:keepLines/>
              <w:rPr>
                <w:rFonts w:ascii="Arial" w:hAnsi="Arial" w:cs="Arial"/>
                <w:sz w:val="16"/>
                <w:szCs w:val="18"/>
              </w:rPr>
            </w:pPr>
            <w:r w:rsidRPr="00D06868">
              <w:rPr>
                <w:rFonts w:ascii="Arial" w:eastAsia="PMingLiU" w:hAnsi="Arial" w:cs="Arial"/>
                <w:sz w:val="16"/>
                <w:szCs w:val="18"/>
                <w:lang w:eastAsia="zh-TW"/>
              </w:rPr>
              <w:t>Per UE</w:t>
            </w:r>
          </w:p>
        </w:tc>
        <w:tc>
          <w:tcPr>
            <w:tcW w:w="0" w:type="auto"/>
            <w:shd w:val="clear" w:color="auto" w:fill="auto"/>
          </w:tcPr>
          <w:p w14:paraId="08C8CF55" w14:textId="77777777" w:rsidR="00EE1676" w:rsidRPr="00D06868" w:rsidRDefault="00EE16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shd w:val="clear" w:color="auto" w:fill="auto"/>
          </w:tcPr>
          <w:p w14:paraId="1AC6B21E" w14:textId="77777777" w:rsidR="00EE1676" w:rsidRPr="00D06868" w:rsidRDefault="00EE1676" w:rsidP="00391E88">
            <w:pPr>
              <w:keepNext/>
              <w:keepLines/>
              <w:rPr>
                <w:rFonts w:ascii="Arial" w:hAnsi="Arial" w:cs="Arial"/>
                <w:sz w:val="16"/>
                <w:szCs w:val="18"/>
              </w:rPr>
            </w:pPr>
            <w:r w:rsidRPr="00D06868">
              <w:rPr>
                <w:rFonts w:ascii="Arial" w:eastAsia="PMingLiU" w:hAnsi="Arial" w:cs="Arial" w:hint="eastAsia"/>
                <w:sz w:val="16"/>
                <w:szCs w:val="18"/>
                <w:lang w:eastAsia="zh-TW"/>
              </w:rPr>
              <w:t>N</w:t>
            </w:r>
            <w:r w:rsidRPr="00D06868">
              <w:rPr>
                <w:rFonts w:ascii="Arial" w:eastAsia="PMingLiU" w:hAnsi="Arial" w:cs="Arial"/>
                <w:sz w:val="16"/>
                <w:szCs w:val="18"/>
                <w:lang w:eastAsia="zh-TW"/>
              </w:rPr>
              <w:t>o</w:t>
            </w:r>
          </w:p>
        </w:tc>
        <w:tc>
          <w:tcPr>
            <w:tcW w:w="0" w:type="auto"/>
          </w:tcPr>
          <w:p w14:paraId="53ABF241" w14:textId="77777777" w:rsidR="00EE1676" w:rsidRPr="00D06868" w:rsidRDefault="00EE1676" w:rsidP="00391E88">
            <w:pPr>
              <w:keepNext/>
              <w:keepLines/>
              <w:rPr>
                <w:rFonts w:ascii="Arial" w:hAnsi="Arial" w:cs="Arial"/>
                <w:sz w:val="16"/>
                <w:szCs w:val="18"/>
              </w:rPr>
            </w:pPr>
            <w:r w:rsidRPr="00D06868">
              <w:rPr>
                <w:rFonts w:ascii="Arial" w:hAnsi="Arial" w:cs="Arial"/>
                <w:sz w:val="16"/>
                <w:szCs w:val="18"/>
              </w:rPr>
              <w:t>N.A</w:t>
            </w:r>
          </w:p>
        </w:tc>
        <w:tc>
          <w:tcPr>
            <w:tcW w:w="0" w:type="auto"/>
            <w:shd w:val="clear" w:color="auto" w:fill="auto"/>
          </w:tcPr>
          <w:p w14:paraId="06797ACA" w14:textId="77777777" w:rsidR="00EE1676" w:rsidRPr="00D06868" w:rsidRDefault="00EE1676" w:rsidP="00391E88">
            <w:pPr>
              <w:keepNext/>
              <w:keepLines/>
              <w:rPr>
                <w:rFonts w:ascii="Arial" w:hAnsi="Arial" w:cs="Arial"/>
                <w:sz w:val="16"/>
                <w:szCs w:val="18"/>
              </w:rPr>
            </w:pPr>
          </w:p>
        </w:tc>
        <w:tc>
          <w:tcPr>
            <w:tcW w:w="0" w:type="auto"/>
            <w:shd w:val="clear" w:color="auto" w:fill="auto"/>
          </w:tcPr>
          <w:p w14:paraId="7D683C52" w14:textId="77777777" w:rsidR="00EE1676" w:rsidRPr="00D06868" w:rsidRDefault="00EE1676" w:rsidP="00391E88">
            <w:pPr>
              <w:keepNext/>
              <w:keepLines/>
              <w:rPr>
                <w:rFonts w:ascii="Arial" w:hAnsi="Arial" w:cs="Arial"/>
                <w:sz w:val="16"/>
                <w:szCs w:val="18"/>
              </w:rPr>
            </w:pPr>
            <w:r w:rsidRPr="00D06868">
              <w:rPr>
                <w:rStyle w:val="normaltextrun"/>
                <w:rFonts w:ascii="Arial" w:hAnsi="Arial" w:cs="Arial"/>
                <w:color w:val="000000"/>
                <w:sz w:val="16"/>
                <w:szCs w:val="18"/>
                <w:shd w:val="clear" w:color="auto" w:fill="FFFFFF"/>
              </w:rPr>
              <w:t>Optional with capability signalling</w:t>
            </w:r>
            <w:r w:rsidRPr="00D06868">
              <w:rPr>
                <w:rStyle w:val="eop"/>
                <w:rFonts w:ascii="Arial" w:hAnsi="Arial" w:cs="Arial"/>
                <w:color w:val="000000"/>
                <w:sz w:val="16"/>
                <w:szCs w:val="18"/>
                <w:shd w:val="clear" w:color="auto" w:fill="FFFFFF"/>
              </w:rPr>
              <w:t> </w:t>
            </w:r>
          </w:p>
        </w:tc>
      </w:tr>
    </w:tbl>
    <w:p w14:paraId="2466C15C" w14:textId="4E656865" w:rsidR="00B94CD2" w:rsidRPr="00565F05"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1705A428" w14:textId="5765101D" w:rsidR="00037989" w:rsidRPr="009324AB" w:rsidRDefault="00F13D41" w:rsidP="009324AB">
      <w:pPr>
        <w:pStyle w:val="affd"/>
        <w:numPr>
          <w:ilvl w:val="0"/>
          <w:numId w:val="28"/>
        </w:numPr>
        <w:ind w:firstLineChars="0"/>
        <w:rPr>
          <w:sz w:val="22"/>
          <w:szCs w:val="22"/>
          <w:lang w:val="en-US"/>
        </w:rPr>
      </w:pPr>
      <w:r w:rsidRPr="00F13D41">
        <w:rPr>
          <w:sz w:val="22"/>
          <w:szCs w:val="22"/>
          <w:lang w:val="en-US"/>
        </w:rPr>
        <w:t>R4-2321640</w:t>
      </w:r>
      <w:r w:rsidR="00C04442">
        <w:rPr>
          <w:rFonts w:hint="eastAsia"/>
          <w:sz w:val="22"/>
          <w:szCs w:val="22"/>
          <w:lang w:val="en-US" w:eastAsia="zh-CN"/>
        </w:rPr>
        <w:t>,</w:t>
      </w:r>
      <w:r w:rsidR="00C04442">
        <w:rPr>
          <w:sz w:val="22"/>
          <w:szCs w:val="22"/>
          <w:lang w:val="en-US" w:eastAsia="zh-CN"/>
        </w:rPr>
        <w:t xml:space="preserve"> </w:t>
      </w:r>
      <w:r w:rsidRPr="00F13D41">
        <w:rPr>
          <w:sz w:val="22"/>
          <w:szCs w:val="22"/>
          <w:lang w:val="en-US" w:eastAsia="zh-CN"/>
        </w:rPr>
        <w:t>WF for NR_MGE-2_part1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w:t>
      </w:r>
      <w:r w:rsidR="00456669">
        <w:rPr>
          <w:sz w:val="22"/>
          <w:szCs w:val="22"/>
          <w:lang w:val="en-US" w:eastAsia="zh-CN"/>
        </w:rPr>
        <w:t>9</w:t>
      </w:r>
      <w:r w:rsidR="00C04442" w:rsidRPr="00C04442">
        <w:rPr>
          <w:sz w:val="22"/>
          <w:szCs w:val="22"/>
          <w:lang w:val="en-US" w:eastAsia="zh-CN"/>
        </w:rPr>
        <w:t>,</w:t>
      </w:r>
      <w:r w:rsidR="00C04442">
        <w:rPr>
          <w:sz w:val="22"/>
          <w:szCs w:val="22"/>
          <w:lang w:val="en-US" w:eastAsia="zh-CN"/>
        </w:rPr>
        <w:t xml:space="preserve"> </w:t>
      </w:r>
      <w:r w:rsidR="00456669" w:rsidRPr="00456669">
        <w:rPr>
          <w:sz w:val="22"/>
          <w:szCs w:val="22"/>
          <w:lang w:val="en-US" w:eastAsia="zh-CN"/>
        </w:rPr>
        <w:t>November</w:t>
      </w:r>
      <w:r w:rsidR="00AA1EAD" w:rsidRPr="00AA1EAD">
        <w:rPr>
          <w:sz w:val="22"/>
          <w:szCs w:val="22"/>
          <w:lang w:val="en-US" w:eastAsia="zh-CN"/>
        </w:rPr>
        <w:t xml:space="preserve"> 2023</w:t>
      </w:r>
      <w:r w:rsidR="00C04442">
        <w:rPr>
          <w:sz w:val="22"/>
          <w:szCs w:val="22"/>
          <w:lang w:val="en-US" w:eastAsia="zh-CN"/>
        </w:rPr>
        <w:t>.</w:t>
      </w:r>
    </w:p>
    <w:sectPr w:rsidR="00037989" w:rsidRPr="009324AB" w:rsidSect="00F86A41">
      <w:headerReference w:type="even" r:id="rId8"/>
      <w:footnotePr>
        <w:numRestart w:val="eachSect"/>
      </w:footnotePr>
      <w:type w:val="continuous"/>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F6BE0" w14:textId="77777777" w:rsidR="002D5B58" w:rsidRDefault="002D5B58">
      <w:r>
        <w:separator/>
      </w:r>
    </w:p>
  </w:endnote>
  <w:endnote w:type="continuationSeparator" w:id="0">
    <w:p w14:paraId="1601584F" w14:textId="77777777" w:rsidR="002D5B58" w:rsidRDefault="002D5B58">
      <w:r>
        <w:continuationSeparator/>
      </w:r>
    </w:p>
  </w:endnote>
  <w:endnote w:type="continuationNotice" w:id="1">
    <w:p w14:paraId="041E0E6C" w14:textId="77777777" w:rsidR="002D5B58" w:rsidRDefault="002D5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Gulim">
    <w:altName w:val="Arial Unicode MS"/>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8B55" w14:textId="77777777" w:rsidR="002D5B58" w:rsidRDefault="002D5B58">
      <w:r>
        <w:separator/>
      </w:r>
    </w:p>
  </w:footnote>
  <w:footnote w:type="continuationSeparator" w:id="0">
    <w:p w14:paraId="6AB2C736" w14:textId="77777777" w:rsidR="002D5B58" w:rsidRDefault="002D5B58">
      <w:r>
        <w:continuationSeparator/>
      </w:r>
    </w:p>
  </w:footnote>
  <w:footnote w:type="continuationNotice" w:id="1">
    <w:p w14:paraId="4CFF4130" w14:textId="77777777" w:rsidR="002D5B58" w:rsidRDefault="002D5B5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C82AB4"/>
    <w:multiLevelType w:val="hybridMultilevel"/>
    <w:tmpl w:val="D67E5C5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B5207"/>
    <w:multiLevelType w:val="hybridMultilevel"/>
    <w:tmpl w:val="571064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31"/>
  </w:num>
  <w:num w:numId="12">
    <w:abstractNumId w:val="23"/>
  </w:num>
  <w:num w:numId="13">
    <w:abstractNumId w:val="32"/>
  </w:num>
  <w:num w:numId="14">
    <w:abstractNumId w:val="8"/>
  </w:num>
  <w:num w:numId="15">
    <w:abstractNumId w:val="1"/>
  </w:num>
  <w:num w:numId="16">
    <w:abstractNumId w:val="39"/>
  </w:num>
  <w:num w:numId="17">
    <w:abstractNumId w:val="6"/>
  </w:num>
  <w:num w:numId="18">
    <w:abstractNumId w:val="28"/>
  </w:num>
  <w:num w:numId="19">
    <w:abstractNumId w:val="3"/>
  </w:num>
  <w:num w:numId="20">
    <w:abstractNumId w:val="10"/>
  </w:num>
  <w:num w:numId="21">
    <w:abstractNumId w:val="22"/>
  </w:num>
  <w:num w:numId="22">
    <w:abstractNumId w:val="25"/>
  </w:num>
  <w:num w:numId="23">
    <w:abstractNumId w:val="12"/>
  </w:num>
  <w:num w:numId="24">
    <w:abstractNumId w:val="16"/>
  </w:num>
  <w:num w:numId="25">
    <w:abstractNumId w:val="24"/>
  </w:num>
  <w:num w:numId="26">
    <w:abstractNumId w:val="4"/>
  </w:num>
  <w:num w:numId="27">
    <w:abstractNumId w:val="13"/>
  </w:num>
  <w:num w:numId="28">
    <w:abstractNumId w:val="37"/>
  </w:num>
  <w:num w:numId="29">
    <w:abstractNumId w:val="25"/>
  </w:num>
  <w:num w:numId="30">
    <w:abstractNumId w:val="35"/>
  </w:num>
  <w:num w:numId="31">
    <w:abstractNumId w:val="40"/>
  </w:num>
  <w:num w:numId="32">
    <w:abstractNumId w:val="20"/>
  </w:num>
  <w:num w:numId="33">
    <w:abstractNumId w:val="14"/>
  </w:num>
  <w:num w:numId="34">
    <w:abstractNumId w:val="7"/>
  </w:num>
  <w:num w:numId="35">
    <w:abstractNumId w:val="19"/>
  </w:num>
  <w:num w:numId="36">
    <w:abstractNumId w:val="18"/>
  </w:num>
  <w:num w:numId="37">
    <w:abstractNumId w:val="25"/>
  </w:num>
  <w:num w:numId="38">
    <w:abstractNumId w:val="35"/>
  </w:num>
  <w:num w:numId="39">
    <w:abstractNumId w:val="9"/>
  </w:num>
  <w:num w:numId="40">
    <w:abstractNumId w:val="26"/>
  </w:num>
  <w:num w:numId="41">
    <w:abstractNumId w:val="11"/>
  </w:num>
  <w:num w:numId="42">
    <w:abstractNumId w:val="27"/>
  </w:num>
  <w:num w:numId="43">
    <w:abstractNumId w:val="34"/>
  </w:num>
  <w:num w:numId="44">
    <w:abstractNumId w:val="33"/>
  </w:num>
  <w:num w:numId="45">
    <w:abstractNumId w:val="17"/>
  </w:num>
  <w:num w:numId="46">
    <w:abstractNumId w:val="2"/>
  </w:num>
  <w:num w:numId="47">
    <w:abstractNumId w:val="15"/>
  </w:num>
  <w:num w:numId="48">
    <w:abstractNumId w:val="29"/>
  </w:num>
  <w:num w:numId="49">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291"/>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89"/>
    <w:rsid w:val="000379E3"/>
    <w:rsid w:val="00040AFB"/>
    <w:rsid w:val="00040B6E"/>
    <w:rsid w:val="00040B9B"/>
    <w:rsid w:val="00041910"/>
    <w:rsid w:val="00041B0F"/>
    <w:rsid w:val="00041F0D"/>
    <w:rsid w:val="00042374"/>
    <w:rsid w:val="00042E08"/>
    <w:rsid w:val="00042F28"/>
    <w:rsid w:val="0004301E"/>
    <w:rsid w:val="00043024"/>
    <w:rsid w:val="00044A05"/>
    <w:rsid w:val="00044B4C"/>
    <w:rsid w:val="000459BE"/>
    <w:rsid w:val="00045E08"/>
    <w:rsid w:val="00046960"/>
    <w:rsid w:val="00050001"/>
    <w:rsid w:val="00050318"/>
    <w:rsid w:val="00050545"/>
    <w:rsid w:val="00050957"/>
    <w:rsid w:val="000510FB"/>
    <w:rsid w:val="00051788"/>
    <w:rsid w:val="00051C39"/>
    <w:rsid w:val="000523C0"/>
    <w:rsid w:val="000523D1"/>
    <w:rsid w:val="000527A5"/>
    <w:rsid w:val="00053004"/>
    <w:rsid w:val="000531E5"/>
    <w:rsid w:val="00053474"/>
    <w:rsid w:val="00053B21"/>
    <w:rsid w:val="00053BDB"/>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5EA1"/>
    <w:rsid w:val="00066378"/>
    <w:rsid w:val="000668D6"/>
    <w:rsid w:val="000669FE"/>
    <w:rsid w:val="00066A4C"/>
    <w:rsid w:val="00066EE3"/>
    <w:rsid w:val="0006720F"/>
    <w:rsid w:val="0006745C"/>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DF5"/>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6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A65"/>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2C6F"/>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45B"/>
    <w:rsid w:val="001325E9"/>
    <w:rsid w:val="00132EBF"/>
    <w:rsid w:val="00132F37"/>
    <w:rsid w:val="00133A0A"/>
    <w:rsid w:val="001346E3"/>
    <w:rsid w:val="001352B6"/>
    <w:rsid w:val="00135C2B"/>
    <w:rsid w:val="00135CDC"/>
    <w:rsid w:val="00136107"/>
    <w:rsid w:val="00136139"/>
    <w:rsid w:val="00136270"/>
    <w:rsid w:val="001367F3"/>
    <w:rsid w:val="001378DE"/>
    <w:rsid w:val="00137A3D"/>
    <w:rsid w:val="00140052"/>
    <w:rsid w:val="001408A7"/>
    <w:rsid w:val="00140D0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5010"/>
    <w:rsid w:val="001753FA"/>
    <w:rsid w:val="0017552B"/>
    <w:rsid w:val="001759D9"/>
    <w:rsid w:val="00175AB3"/>
    <w:rsid w:val="00175D68"/>
    <w:rsid w:val="00176C9A"/>
    <w:rsid w:val="00176E88"/>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2FA"/>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07885"/>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2D68"/>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21"/>
    <w:rsid w:val="002408BE"/>
    <w:rsid w:val="00241281"/>
    <w:rsid w:val="002422DD"/>
    <w:rsid w:val="00242B77"/>
    <w:rsid w:val="00242C58"/>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A0"/>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064"/>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7241"/>
    <w:rsid w:val="002A7B8A"/>
    <w:rsid w:val="002B0A1B"/>
    <w:rsid w:val="002B15A0"/>
    <w:rsid w:val="002B1D46"/>
    <w:rsid w:val="002B2840"/>
    <w:rsid w:val="002B331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5B58"/>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1EDD"/>
    <w:rsid w:val="002F2AF3"/>
    <w:rsid w:val="002F2C14"/>
    <w:rsid w:val="002F2F17"/>
    <w:rsid w:val="002F33B8"/>
    <w:rsid w:val="002F38BB"/>
    <w:rsid w:val="002F3A46"/>
    <w:rsid w:val="002F3E1D"/>
    <w:rsid w:val="002F499E"/>
    <w:rsid w:val="002F4BE9"/>
    <w:rsid w:val="002F4DDB"/>
    <w:rsid w:val="002F5AE4"/>
    <w:rsid w:val="002F625B"/>
    <w:rsid w:val="002F6C18"/>
    <w:rsid w:val="002F6CFC"/>
    <w:rsid w:val="002F70DE"/>
    <w:rsid w:val="002F7366"/>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1E6"/>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779"/>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723"/>
    <w:rsid w:val="00325A08"/>
    <w:rsid w:val="00326902"/>
    <w:rsid w:val="00326932"/>
    <w:rsid w:val="00330249"/>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343"/>
    <w:rsid w:val="00354AC7"/>
    <w:rsid w:val="00355CCD"/>
    <w:rsid w:val="00356026"/>
    <w:rsid w:val="003567BE"/>
    <w:rsid w:val="0035687F"/>
    <w:rsid w:val="00356DED"/>
    <w:rsid w:val="00356FD9"/>
    <w:rsid w:val="00360017"/>
    <w:rsid w:val="003602B5"/>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4915"/>
    <w:rsid w:val="00394CE7"/>
    <w:rsid w:val="00395AF8"/>
    <w:rsid w:val="00396407"/>
    <w:rsid w:val="00396E80"/>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4B8E"/>
    <w:rsid w:val="003B5CAB"/>
    <w:rsid w:val="003B5D74"/>
    <w:rsid w:val="003B5EC7"/>
    <w:rsid w:val="003B5F9E"/>
    <w:rsid w:val="003B61B5"/>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29E"/>
    <w:rsid w:val="003C2E12"/>
    <w:rsid w:val="003C31C9"/>
    <w:rsid w:val="003C4463"/>
    <w:rsid w:val="003C49AB"/>
    <w:rsid w:val="003C4CAB"/>
    <w:rsid w:val="003C56CC"/>
    <w:rsid w:val="003C659F"/>
    <w:rsid w:val="003C699C"/>
    <w:rsid w:val="003C6C85"/>
    <w:rsid w:val="003C6F58"/>
    <w:rsid w:val="003C7741"/>
    <w:rsid w:val="003C7ABF"/>
    <w:rsid w:val="003C7B4E"/>
    <w:rsid w:val="003C7BD5"/>
    <w:rsid w:val="003C7D26"/>
    <w:rsid w:val="003D0751"/>
    <w:rsid w:val="003D0A6E"/>
    <w:rsid w:val="003D0AAA"/>
    <w:rsid w:val="003D146B"/>
    <w:rsid w:val="003D1641"/>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7356"/>
    <w:rsid w:val="003D753D"/>
    <w:rsid w:val="003E2030"/>
    <w:rsid w:val="003E2697"/>
    <w:rsid w:val="003E2E7E"/>
    <w:rsid w:val="003E2F7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43C7"/>
    <w:rsid w:val="00454FEA"/>
    <w:rsid w:val="004564B4"/>
    <w:rsid w:val="00456669"/>
    <w:rsid w:val="00456DAF"/>
    <w:rsid w:val="00456EB0"/>
    <w:rsid w:val="004570AC"/>
    <w:rsid w:val="00457CEC"/>
    <w:rsid w:val="00457D58"/>
    <w:rsid w:val="004604A6"/>
    <w:rsid w:val="004611DF"/>
    <w:rsid w:val="0046122B"/>
    <w:rsid w:val="00461410"/>
    <w:rsid w:val="0046153E"/>
    <w:rsid w:val="00462401"/>
    <w:rsid w:val="00463D7D"/>
    <w:rsid w:val="00463EFD"/>
    <w:rsid w:val="00464A79"/>
    <w:rsid w:val="00464E07"/>
    <w:rsid w:val="00464FEE"/>
    <w:rsid w:val="00465150"/>
    <w:rsid w:val="00465299"/>
    <w:rsid w:val="004656E6"/>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74E"/>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100"/>
    <w:rsid w:val="004C5A78"/>
    <w:rsid w:val="004C74E9"/>
    <w:rsid w:val="004C7D82"/>
    <w:rsid w:val="004C7F1F"/>
    <w:rsid w:val="004D09CC"/>
    <w:rsid w:val="004D193B"/>
    <w:rsid w:val="004D19EC"/>
    <w:rsid w:val="004D1B24"/>
    <w:rsid w:val="004D1B6D"/>
    <w:rsid w:val="004D2008"/>
    <w:rsid w:val="004D3652"/>
    <w:rsid w:val="004D3DFD"/>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4C"/>
    <w:rsid w:val="00533C6E"/>
    <w:rsid w:val="00533E71"/>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8F5"/>
    <w:rsid w:val="00546FD1"/>
    <w:rsid w:val="00547009"/>
    <w:rsid w:val="005501EA"/>
    <w:rsid w:val="0055020C"/>
    <w:rsid w:val="0055063D"/>
    <w:rsid w:val="00550B5A"/>
    <w:rsid w:val="00550C35"/>
    <w:rsid w:val="00552279"/>
    <w:rsid w:val="00552530"/>
    <w:rsid w:val="00552F43"/>
    <w:rsid w:val="00552F51"/>
    <w:rsid w:val="005532A8"/>
    <w:rsid w:val="005532B9"/>
    <w:rsid w:val="00553567"/>
    <w:rsid w:val="005536AD"/>
    <w:rsid w:val="005549BC"/>
    <w:rsid w:val="005549F6"/>
    <w:rsid w:val="00554C9F"/>
    <w:rsid w:val="00555D4D"/>
    <w:rsid w:val="005565CE"/>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776"/>
    <w:rsid w:val="00564C76"/>
    <w:rsid w:val="00565716"/>
    <w:rsid w:val="00565797"/>
    <w:rsid w:val="00565808"/>
    <w:rsid w:val="00565F05"/>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A0064"/>
    <w:rsid w:val="005A08AF"/>
    <w:rsid w:val="005A0D3D"/>
    <w:rsid w:val="005A1281"/>
    <w:rsid w:val="005A17A7"/>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42CD"/>
    <w:rsid w:val="00604524"/>
    <w:rsid w:val="00604626"/>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48"/>
    <w:rsid w:val="006529FD"/>
    <w:rsid w:val="00652AAC"/>
    <w:rsid w:val="00652CF2"/>
    <w:rsid w:val="0065387D"/>
    <w:rsid w:val="00653E5C"/>
    <w:rsid w:val="00653EEC"/>
    <w:rsid w:val="00655397"/>
    <w:rsid w:val="00655417"/>
    <w:rsid w:val="00655651"/>
    <w:rsid w:val="006557B0"/>
    <w:rsid w:val="00656568"/>
    <w:rsid w:val="00656B28"/>
    <w:rsid w:val="00656BB7"/>
    <w:rsid w:val="00656EDD"/>
    <w:rsid w:val="006573F3"/>
    <w:rsid w:val="006579F4"/>
    <w:rsid w:val="00657CEA"/>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BF"/>
    <w:rsid w:val="00667ADF"/>
    <w:rsid w:val="00667B5A"/>
    <w:rsid w:val="00667F45"/>
    <w:rsid w:val="00670459"/>
    <w:rsid w:val="006718F8"/>
    <w:rsid w:val="006726AB"/>
    <w:rsid w:val="00672717"/>
    <w:rsid w:val="00672D22"/>
    <w:rsid w:val="006731A0"/>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6B4"/>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082"/>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4A26"/>
    <w:rsid w:val="00724ED6"/>
    <w:rsid w:val="00725116"/>
    <w:rsid w:val="007251C3"/>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59B"/>
    <w:rsid w:val="00762896"/>
    <w:rsid w:val="0076297B"/>
    <w:rsid w:val="007631C1"/>
    <w:rsid w:val="007637DF"/>
    <w:rsid w:val="00763FC2"/>
    <w:rsid w:val="0076423E"/>
    <w:rsid w:val="0076451B"/>
    <w:rsid w:val="00764CD9"/>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BFF"/>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47A"/>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7AB"/>
    <w:rsid w:val="007A79FC"/>
    <w:rsid w:val="007A7DBF"/>
    <w:rsid w:val="007B130C"/>
    <w:rsid w:val="007B1830"/>
    <w:rsid w:val="007B1E1E"/>
    <w:rsid w:val="007B20A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3473"/>
    <w:rsid w:val="007C3D60"/>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2166"/>
    <w:rsid w:val="007D3880"/>
    <w:rsid w:val="007D38AC"/>
    <w:rsid w:val="007D3AE7"/>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0F3A"/>
    <w:rsid w:val="007E15A9"/>
    <w:rsid w:val="007E1BFE"/>
    <w:rsid w:val="007E1C42"/>
    <w:rsid w:val="007E2417"/>
    <w:rsid w:val="007E2565"/>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50C"/>
    <w:rsid w:val="007F47B2"/>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6EF"/>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795"/>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C7C6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129"/>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4AB"/>
    <w:rsid w:val="00932588"/>
    <w:rsid w:val="009335BB"/>
    <w:rsid w:val="00933A0E"/>
    <w:rsid w:val="00933EA7"/>
    <w:rsid w:val="009341B7"/>
    <w:rsid w:val="009352E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8F3"/>
    <w:rsid w:val="00954DBF"/>
    <w:rsid w:val="00955776"/>
    <w:rsid w:val="00955D24"/>
    <w:rsid w:val="00956A7B"/>
    <w:rsid w:val="009570DF"/>
    <w:rsid w:val="00957602"/>
    <w:rsid w:val="00957730"/>
    <w:rsid w:val="00957D2E"/>
    <w:rsid w:val="00957D57"/>
    <w:rsid w:val="00957EED"/>
    <w:rsid w:val="0096056A"/>
    <w:rsid w:val="0096083B"/>
    <w:rsid w:val="00961127"/>
    <w:rsid w:val="009618A9"/>
    <w:rsid w:val="00962B45"/>
    <w:rsid w:val="00962C11"/>
    <w:rsid w:val="00962EAE"/>
    <w:rsid w:val="00963776"/>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385"/>
    <w:rsid w:val="00991D3F"/>
    <w:rsid w:val="009920BF"/>
    <w:rsid w:val="00992326"/>
    <w:rsid w:val="009923AC"/>
    <w:rsid w:val="0099263F"/>
    <w:rsid w:val="00993A7E"/>
    <w:rsid w:val="009947B0"/>
    <w:rsid w:val="00995174"/>
    <w:rsid w:val="00995F9E"/>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39B"/>
    <w:rsid w:val="009B0FF4"/>
    <w:rsid w:val="009B11B9"/>
    <w:rsid w:val="009B1A5C"/>
    <w:rsid w:val="009B1B08"/>
    <w:rsid w:val="009B26C3"/>
    <w:rsid w:val="009B2796"/>
    <w:rsid w:val="009B280E"/>
    <w:rsid w:val="009B2A41"/>
    <w:rsid w:val="009B2A5C"/>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2EB8"/>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72E"/>
    <w:rsid w:val="009E0F48"/>
    <w:rsid w:val="009E13FA"/>
    <w:rsid w:val="009E210E"/>
    <w:rsid w:val="009E231A"/>
    <w:rsid w:val="009E23E5"/>
    <w:rsid w:val="009E2D98"/>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0465"/>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9DA"/>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976E0"/>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BB8"/>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A1B"/>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0A8C"/>
    <w:rsid w:val="00B02280"/>
    <w:rsid w:val="00B0265A"/>
    <w:rsid w:val="00B0307A"/>
    <w:rsid w:val="00B055E9"/>
    <w:rsid w:val="00B06646"/>
    <w:rsid w:val="00B068F8"/>
    <w:rsid w:val="00B073CB"/>
    <w:rsid w:val="00B0774E"/>
    <w:rsid w:val="00B10396"/>
    <w:rsid w:val="00B106AA"/>
    <w:rsid w:val="00B106B8"/>
    <w:rsid w:val="00B10FCB"/>
    <w:rsid w:val="00B11185"/>
    <w:rsid w:val="00B11364"/>
    <w:rsid w:val="00B12101"/>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739"/>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829"/>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6E4"/>
    <w:rsid w:val="00B76919"/>
    <w:rsid w:val="00B76D98"/>
    <w:rsid w:val="00B76E5E"/>
    <w:rsid w:val="00B80F98"/>
    <w:rsid w:val="00B81AB9"/>
    <w:rsid w:val="00B821F9"/>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458"/>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2CE"/>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79F"/>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36D3"/>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9"/>
    <w:rsid w:val="00C07CBF"/>
    <w:rsid w:val="00C10078"/>
    <w:rsid w:val="00C1024D"/>
    <w:rsid w:val="00C107B7"/>
    <w:rsid w:val="00C1249F"/>
    <w:rsid w:val="00C124ED"/>
    <w:rsid w:val="00C125C3"/>
    <w:rsid w:val="00C13140"/>
    <w:rsid w:val="00C1339D"/>
    <w:rsid w:val="00C142DF"/>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3FAC"/>
    <w:rsid w:val="00C64C9E"/>
    <w:rsid w:val="00C655B9"/>
    <w:rsid w:val="00C65A8D"/>
    <w:rsid w:val="00C65F6D"/>
    <w:rsid w:val="00C6646E"/>
    <w:rsid w:val="00C664F1"/>
    <w:rsid w:val="00C673F8"/>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5EBC"/>
    <w:rsid w:val="00C7665F"/>
    <w:rsid w:val="00C76D38"/>
    <w:rsid w:val="00C774F2"/>
    <w:rsid w:val="00C80AD2"/>
    <w:rsid w:val="00C80B2B"/>
    <w:rsid w:val="00C82A2B"/>
    <w:rsid w:val="00C82EDC"/>
    <w:rsid w:val="00C82FF5"/>
    <w:rsid w:val="00C832A5"/>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3DB"/>
    <w:rsid w:val="00CA748C"/>
    <w:rsid w:val="00CA7544"/>
    <w:rsid w:val="00CA7B55"/>
    <w:rsid w:val="00CB0C4A"/>
    <w:rsid w:val="00CB13EE"/>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EB2"/>
    <w:rsid w:val="00CD21B8"/>
    <w:rsid w:val="00CD25D0"/>
    <w:rsid w:val="00CD2E34"/>
    <w:rsid w:val="00CD323A"/>
    <w:rsid w:val="00CD32D4"/>
    <w:rsid w:val="00CD3371"/>
    <w:rsid w:val="00CD4177"/>
    <w:rsid w:val="00CD44D4"/>
    <w:rsid w:val="00CD45D0"/>
    <w:rsid w:val="00CD4B40"/>
    <w:rsid w:val="00CD4B93"/>
    <w:rsid w:val="00CD4BC9"/>
    <w:rsid w:val="00CD4D6F"/>
    <w:rsid w:val="00CD5824"/>
    <w:rsid w:val="00CD5947"/>
    <w:rsid w:val="00CD5A3B"/>
    <w:rsid w:val="00CD5ACD"/>
    <w:rsid w:val="00CD5D94"/>
    <w:rsid w:val="00CD613F"/>
    <w:rsid w:val="00CD642B"/>
    <w:rsid w:val="00CD67E8"/>
    <w:rsid w:val="00CD6B41"/>
    <w:rsid w:val="00CD7327"/>
    <w:rsid w:val="00CD7975"/>
    <w:rsid w:val="00CD7BDF"/>
    <w:rsid w:val="00CE0112"/>
    <w:rsid w:val="00CE0AFD"/>
    <w:rsid w:val="00CE0E96"/>
    <w:rsid w:val="00CE101F"/>
    <w:rsid w:val="00CE1460"/>
    <w:rsid w:val="00CE14B2"/>
    <w:rsid w:val="00CE1582"/>
    <w:rsid w:val="00CE19A2"/>
    <w:rsid w:val="00CE1D42"/>
    <w:rsid w:val="00CE2124"/>
    <w:rsid w:val="00CE21D5"/>
    <w:rsid w:val="00CE2E5A"/>
    <w:rsid w:val="00CE325C"/>
    <w:rsid w:val="00CE34BE"/>
    <w:rsid w:val="00CE350D"/>
    <w:rsid w:val="00CE38D7"/>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6868"/>
    <w:rsid w:val="00D07B26"/>
    <w:rsid w:val="00D10A4D"/>
    <w:rsid w:val="00D10A90"/>
    <w:rsid w:val="00D10B68"/>
    <w:rsid w:val="00D111F5"/>
    <w:rsid w:val="00D1213D"/>
    <w:rsid w:val="00D12300"/>
    <w:rsid w:val="00D127B7"/>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FC9"/>
    <w:rsid w:val="00D55393"/>
    <w:rsid w:val="00D5548B"/>
    <w:rsid w:val="00D55550"/>
    <w:rsid w:val="00D55B02"/>
    <w:rsid w:val="00D56568"/>
    <w:rsid w:val="00D6074D"/>
    <w:rsid w:val="00D608B6"/>
    <w:rsid w:val="00D610E5"/>
    <w:rsid w:val="00D61689"/>
    <w:rsid w:val="00D61CBE"/>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9C7"/>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45"/>
    <w:rsid w:val="00DA7549"/>
    <w:rsid w:val="00DA79A9"/>
    <w:rsid w:val="00DA7CE5"/>
    <w:rsid w:val="00DA7E76"/>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337"/>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3BAA"/>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1040"/>
    <w:rsid w:val="00E12453"/>
    <w:rsid w:val="00E12987"/>
    <w:rsid w:val="00E13195"/>
    <w:rsid w:val="00E14449"/>
    <w:rsid w:val="00E1452E"/>
    <w:rsid w:val="00E14FAC"/>
    <w:rsid w:val="00E151A5"/>
    <w:rsid w:val="00E155DD"/>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015"/>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1FC"/>
    <w:rsid w:val="00E72B95"/>
    <w:rsid w:val="00E738CB"/>
    <w:rsid w:val="00E73A1F"/>
    <w:rsid w:val="00E73E10"/>
    <w:rsid w:val="00E742E1"/>
    <w:rsid w:val="00E74661"/>
    <w:rsid w:val="00E7481A"/>
    <w:rsid w:val="00E74B87"/>
    <w:rsid w:val="00E752E5"/>
    <w:rsid w:val="00E7548B"/>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186"/>
    <w:rsid w:val="00E93CF8"/>
    <w:rsid w:val="00E93D4C"/>
    <w:rsid w:val="00E9436D"/>
    <w:rsid w:val="00E94851"/>
    <w:rsid w:val="00E94A62"/>
    <w:rsid w:val="00E94CA9"/>
    <w:rsid w:val="00E9527A"/>
    <w:rsid w:val="00E95933"/>
    <w:rsid w:val="00E96978"/>
    <w:rsid w:val="00E96AEE"/>
    <w:rsid w:val="00E9703D"/>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7AF"/>
    <w:rsid w:val="00EB58C0"/>
    <w:rsid w:val="00EB6039"/>
    <w:rsid w:val="00EB6FC8"/>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AF6"/>
    <w:rsid w:val="00ED4BDF"/>
    <w:rsid w:val="00ED4F4A"/>
    <w:rsid w:val="00ED516E"/>
    <w:rsid w:val="00ED55F9"/>
    <w:rsid w:val="00ED6A7E"/>
    <w:rsid w:val="00ED7081"/>
    <w:rsid w:val="00ED7B39"/>
    <w:rsid w:val="00ED7C3F"/>
    <w:rsid w:val="00EE02AB"/>
    <w:rsid w:val="00EE046A"/>
    <w:rsid w:val="00EE1676"/>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3C0B"/>
    <w:rsid w:val="00EF4980"/>
    <w:rsid w:val="00EF4B84"/>
    <w:rsid w:val="00EF535B"/>
    <w:rsid w:val="00EF53A5"/>
    <w:rsid w:val="00EF545D"/>
    <w:rsid w:val="00EF578E"/>
    <w:rsid w:val="00EF5887"/>
    <w:rsid w:val="00EF5BD6"/>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D41"/>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6637"/>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6A41"/>
    <w:rsid w:val="00F873F0"/>
    <w:rsid w:val="00F87CB0"/>
    <w:rsid w:val="00F906C7"/>
    <w:rsid w:val="00F907EA"/>
    <w:rsid w:val="00F909CE"/>
    <w:rsid w:val="00F90FD8"/>
    <w:rsid w:val="00F91C74"/>
    <w:rsid w:val="00F91CFF"/>
    <w:rsid w:val="00F92174"/>
    <w:rsid w:val="00F92359"/>
    <w:rsid w:val="00F92988"/>
    <w:rsid w:val="00F92A54"/>
    <w:rsid w:val="00F92B6D"/>
    <w:rsid w:val="00F94612"/>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86A"/>
    <w:rsid w:val="00FA5C94"/>
    <w:rsid w:val="00FA5DEC"/>
    <w:rsid w:val="00FA6352"/>
    <w:rsid w:val="00FA6430"/>
    <w:rsid w:val="00FA6571"/>
    <w:rsid w:val="00FA6B37"/>
    <w:rsid w:val="00FA704B"/>
    <w:rsid w:val="00FA7093"/>
    <w:rsid w:val="00FA722C"/>
    <w:rsid w:val="00FA7DC4"/>
    <w:rsid w:val="00FA7F41"/>
    <w:rsid w:val="00FB014B"/>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053"/>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47A"/>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 w:type="paragraph" w:customStyle="1" w:styleId="paragraph">
    <w:name w:val="paragraph"/>
    <w:basedOn w:val="a0"/>
    <w:qFormat/>
    <w:rsid w:val="00BB42CE"/>
    <w:pPr>
      <w:spacing w:before="100" w:beforeAutospacing="1" w:after="100" w:afterAutospacing="1"/>
    </w:pPr>
    <w:rPr>
      <w:rFonts w:ascii="PMingLiU" w:eastAsia="PMingLiU" w:hAnsi="PMingLiU" w:cs="PMingLiU"/>
      <w:lang w:eastAsia="zh-TW"/>
    </w:rPr>
  </w:style>
  <w:style w:type="character" w:customStyle="1" w:styleId="normaltextrun">
    <w:name w:val="normaltextrun"/>
    <w:basedOn w:val="a1"/>
    <w:qFormat/>
    <w:rsid w:val="00BB42CE"/>
  </w:style>
  <w:style w:type="character" w:customStyle="1" w:styleId="eop">
    <w:name w:val="eop"/>
    <w:basedOn w:val="a1"/>
    <w:qFormat/>
    <w:rsid w:val="00BB4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8812CF4-E63F-4AD6-A25C-4429D663E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884</TotalTime>
  <Pages>5</Pages>
  <Words>1048</Words>
  <Characters>5980</Characters>
  <Application>Microsoft Office Word</Application>
  <DocSecurity>0</DocSecurity>
  <Lines>49</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591</cp:revision>
  <cp:lastPrinted>2022-09-22T07:16:00Z</cp:lastPrinted>
  <dcterms:created xsi:type="dcterms:W3CDTF">2023-04-04T03:13:00Z</dcterms:created>
  <dcterms:modified xsi:type="dcterms:W3CDTF">2024-02-19T07:45:00Z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